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96" w:rsidRDefault="00D90296" w:rsidP="00D90296">
      <w:pPr>
        <w:tabs>
          <w:tab w:val="left" w:pos="2196"/>
        </w:tabs>
        <w:spacing w:after="0" w:line="240" w:lineRule="auto"/>
        <w:jc w:val="both"/>
        <w:rPr>
          <w:b/>
        </w:rPr>
      </w:pPr>
      <w:r>
        <w:rPr>
          <w:b/>
          <w:noProof/>
          <w:lang w:eastAsia="en-GB"/>
        </w:rPr>
        <w:drawing>
          <wp:anchor distT="0" distB="0" distL="114300" distR="114300" simplePos="0" relativeHeight="251658240" behindDoc="0" locked="0" layoutInCell="1" allowOverlap="1">
            <wp:simplePos x="0" y="0"/>
            <wp:positionH relativeFrom="column">
              <wp:posOffset>5048250</wp:posOffset>
            </wp:positionH>
            <wp:positionV relativeFrom="paragraph">
              <wp:posOffset>-312420</wp:posOffset>
            </wp:positionV>
            <wp:extent cx="742315" cy="251460"/>
            <wp:effectExtent l="19050" t="0" r="635" b="0"/>
            <wp:wrapSquare wrapText="bothSides"/>
            <wp:docPr id="1" name="Picture 0" descr="LSB_logo-dark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B_logo-dark small.png"/>
                    <pic:cNvPicPr/>
                  </pic:nvPicPr>
                  <pic:blipFill>
                    <a:blip r:embed="rId8" cstate="print"/>
                    <a:stretch>
                      <a:fillRect/>
                    </a:stretch>
                  </pic:blipFill>
                  <pic:spPr>
                    <a:xfrm>
                      <a:off x="0" y="0"/>
                      <a:ext cx="742315" cy="251460"/>
                    </a:xfrm>
                    <a:prstGeom prst="rect">
                      <a:avLst/>
                    </a:prstGeom>
                  </pic:spPr>
                </pic:pic>
              </a:graphicData>
            </a:graphic>
          </wp:anchor>
        </w:drawing>
      </w:r>
    </w:p>
    <w:p w:rsidR="00D90296" w:rsidRPr="00D90296" w:rsidRDefault="00D90296" w:rsidP="00D90296">
      <w:pPr>
        <w:tabs>
          <w:tab w:val="left" w:pos="2196"/>
        </w:tabs>
        <w:spacing w:after="0" w:line="240" w:lineRule="auto"/>
        <w:jc w:val="both"/>
        <w:rPr>
          <w:b/>
          <w:sz w:val="28"/>
          <w:szCs w:val="28"/>
        </w:rPr>
      </w:pPr>
      <w:r w:rsidRPr="00D90296">
        <w:rPr>
          <w:b/>
          <w:sz w:val="28"/>
          <w:szCs w:val="28"/>
        </w:rPr>
        <w:t>Terms of Reference</w:t>
      </w:r>
    </w:p>
    <w:p w:rsidR="00D90296" w:rsidRDefault="00D90296" w:rsidP="00D90296">
      <w:pPr>
        <w:tabs>
          <w:tab w:val="left" w:pos="2196"/>
        </w:tabs>
        <w:spacing w:after="0" w:line="240" w:lineRule="auto"/>
        <w:jc w:val="both"/>
        <w:rPr>
          <w:b/>
          <w:sz w:val="24"/>
          <w:szCs w:val="24"/>
        </w:rPr>
      </w:pPr>
    </w:p>
    <w:p w:rsidR="00CD651D" w:rsidRDefault="00CD651D" w:rsidP="00D90296">
      <w:pPr>
        <w:tabs>
          <w:tab w:val="left" w:pos="2196"/>
        </w:tabs>
        <w:spacing w:after="0" w:line="240" w:lineRule="auto"/>
        <w:jc w:val="both"/>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shd w:val="clear" w:color="auto" w:fill="17365D" w:themeFill="text2" w:themeFillShade="BF"/>
        <w:tblLook w:val="04A0"/>
      </w:tblPr>
      <w:tblGrid>
        <w:gridCol w:w="3510"/>
        <w:gridCol w:w="4253"/>
        <w:gridCol w:w="1479"/>
      </w:tblGrid>
      <w:tr w:rsidR="00F51049" w:rsidRPr="00A57FA7" w:rsidTr="00A57FA7">
        <w:trPr>
          <w:trHeight w:val="514"/>
        </w:trPr>
        <w:tc>
          <w:tcPr>
            <w:tcW w:w="3510" w:type="dxa"/>
            <w:shd w:val="clear" w:color="auto" w:fill="17365D" w:themeFill="text2" w:themeFillShade="BF"/>
            <w:vAlign w:val="center"/>
          </w:tcPr>
          <w:p w:rsidR="00F51049" w:rsidRPr="00A57FA7" w:rsidRDefault="00F51049" w:rsidP="00F51049">
            <w:pPr>
              <w:tabs>
                <w:tab w:val="left" w:pos="2196"/>
              </w:tabs>
              <w:rPr>
                <w:sz w:val="24"/>
                <w:szCs w:val="24"/>
              </w:rPr>
            </w:pPr>
            <w:r w:rsidRPr="00A57FA7">
              <w:rPr>
                <w:sz w:val="24"/>
                <w:szCs w:val="24"/>
              </w:rPr>
              <w:t>Standards Development Project</w:t>
            </w:r>
          </w:p>
        </w:tc>
        <w:tc>
          <w:tcPr>
            <w:tcW w:w="4253" w:type="dxa"/>
            <w:shd w:val="clear" w:color="auto" w:fill="17365D" w:themeFill="text2" w:themeFillShade="BF"/>
            <w:vAlign w:val="center"/>
          </w:tcPr>
          <w:p w:rsidR="00F51049" w:rsidRPr="00A57FA7" w:rsidRDefault="00F51049" w:rsidP="00F51049">
            <w:pPr>
              <w:tabs>
                <w:tab w:val="left" w:pos="2196"/>
              </w:tabs>
              <w:jc w:val="center"/>
              <w:rPr>
                <w:sz w:val="24"/>
                <w:szCs w:val="24"/>
              </w:rPr>
            </w:pPr>
            <w:r w:rsidRPr="00A57FA7">
              <w:rPr>
                <w:sz w:val="24"/>
                <w:szCs w:val="24"/>
              </w:rPr>
              <w:t>Digital</w:t>
            </w:r>
          </w:p>
        </w:tc>
        <w:tc>
          <w:tcPr>
            <w:tcW w:w="1479" w:type="dxa"/>
            <w:shd w:val="clear" w:color="auto" w:fill="17365D" w:themeFill="text2" w:themeFillShade="BF"/>
            <w:vAlign w:val="center"/>
          </w:tcPr>
          <w:p w:rsidR="00F51049" w:rsidRPr="00A57FA7" w:rsidRDefault="00F51049" w:rsidP="00F51049">
            <w:pPr>
              <w:tabs>
                <w:tab w:val="left" w:pos="2196"/>
              </w:tabs>
              <w:jc w:val="center"/>
              <w:rPr>
                <w:sz w:val="24"/>
                <w:szCs w:val="24"/>
              </w:rPr>
            </w:pPr>
            <w:r w:rsidRPr="00A57FA7">
              <w:rPr>
                <w:sz w:val="24"/>
                <w:szCs w:val="24"/>
              </w:rPr>
              <w:t>July 2016</w:t>
            </w:r>
          </w:p>
        </w:tc>
      </w:tr>
    </w:tbl>
    <w:p w:rsidR="00D90296" w:rsidRPr="00CD651D" w:rsidRDefault="00D90296" w:rsidP="00D90296">
      <w:pPr>
        <w:tabs>
          <w:tab w:val="left" w:pos="2196"/>
        </w:tabs>
        <w:spacing w:after="0" w:line="240" w:lineRule="auto"/>
        <w:jc w:val="both"/>
        <w:rPr>
          <w:sz w:val="24"/>
          <w:szCs w:val="24"/>
        </w:rPr>
      </w:pPr>
    </w:p>
    <w:p w:rsidR="00D90296" w:rsidRPr="00CD651D" w:rsidRDefault="00D90296" w:rsidP="00D90296">
      <w:pPr>
        <w:tabs>
          <w:tab w:val="left" w:pos="2196"/>
        </w:tabs>
        <w:spacing w:after="0" w:line="240" w:lineRule="auto"/>
        <w:jc w:val="both"/>
        <w:rPr>
          <w:sz w:val="24"/>
          <w:szCs w:val="24"/>
        </w:rPr>
      </w:pPr>
    </w:p>
    <w:p w:rsidR="00741C62" w:rsidRPr="006A4250" w:rsidRDefault="00F313F9" w:rsidP="00D90296">
      <w:pPr>
        <w:spacing w:after="0" w:line="240" w:lineRule="auto"/>
        <w:jc w:val="both"/>
      </w:pPr>
      <w:r w:rsidRPr="006A4250">
        <w:t>Digital</w:t>
      </w:r>
      <w:r w:rsidR="00711B8F" w:rsidRPr="006A4250">
        <w:t xml:space="preserve"> </w:t>
      </w:r>
      <w:r w:rsidRPr="006A4250">
        <w:t>innovation</w:t>
      </w:r>
      <w:r w:rsidR="00711B8F" w:rsidRPr="006A4250">
        <w:t xml:space="preserve"> has remained a high priority in the financial sector as customers continue to demand high performance technology alternatives to the traditional </w:t>
      </w:r>
      <w:r w:rsidR="007E1B52" w:rsidRPr="006A4250">
        <w:t xml:space="preserve">banking channels.  </w:t>
      </w:r>
      <w:r w:rsidRPr="006A4250">
        <w:t>This technology is also</w:t>
      </w:r>
      <w:r w:rsidR="007E1B52" w:rsidRPr="006A4250">
        <w:t xml:space="preserve"> </w:t>
      </w:r>
      <w:r w:rsidR="00CE62F7">
        <w:t xml:space="preserve">increasing </w:t>
      </w:r>
      <w:r w:rsidR="007E1B52" w:rsidRPr="006A4250">
        <w:t xml:space="preserve">customer awareness and </w:t>
      </w:r>
      <w:r w:rsidR="00CE62F7" w:rsidRPr="006A4250">
        <w:t xml:space="preserve">enabling </w:t>
      </w:r>
      <w:r w:rsidR="00CE62F7">
        <w:t xml:space="preserve">them to have more </w:t>
      </w:r>
      <w:r w:rsidR="007E1B52" w:rsidRPr="006A4250">
        <w:t xml:space="preserve">control over their financial choices </w:t>
      </w:r>
      <w:r w:rsidR="00534004" w:rsidRPr="006A4250">
        <w:t>with</w:t>
      </w:r>
      <w:r w:rsidR="003E1F43" w:rsidRPr="006A4250">
        <w:t xml:space="preserve"> </w:t>
      </w:r>
      <w:r w:rsidR="00D13DDA">
        <w:rPr>
          <w:rStyle w:val="FootnoteReference"/>
        </w:rPr>
        <w:footnoteReference w:id="1"/>
      </w:r>
      <w:proofErr w:type="spellStart"/>
      <w:r w:rsidR="007E1B52" w:rsidRPr="006A4250">
        <w:t>Regtech</w:t>
      </w:r>
      <w:proofErr w:type="spellEnd"/>
      <w:r w:rsidR="007E1B52" w:rsidRPr="006A4250">
        <w:t xml:space="preserve"> </w:t>
      </w:r>
      <w:r w:rsidR="003E1F43" w:rsidRPr="006A4250">
        <w:t xml:space="preserve">developments delivering </w:t>
      </w:r>
      <w:r w:rsidRPr="006A4250">
        <w:t xml:space="preserve">the </w:t>
      </w:r>
      <w:r w:rsidR="007E1B52" w:rsidRPr="006A4250">
        <w:t>regulatory protections</w:t>
      </w:r>
      <w:r w:rsidR="003E1F43" w:rsidRPr="006A4250">
        <w:t xml:space="preserve">.  </w:t>
      </w:r>
    </w:p>
    <w:p w:rsidR="00741C62" w:rsidRPr="006A4250" w:rsidRDefault="00741C62" w:rsidP="00D90296">
      <w:pPr>
        <w:spacing w:after="0" w:line="240" w:lineRule="auto"/>
        <w:jc w:val="both"/>
      </w:pPr>
    </w:p>
    <w:p w:rsidR="00711B8F" w:rsidRPr="006A4250" w:rsidRDefault="00741C62" w:rsidP="00D90296">
      <w:pPr>
        <w:spacing w:after="0" w:line="240" w:lineRule="auto"/>
        <w:jc w:val="both"/>
      </w:pPr>
      <w:r w:rsidRPr="006A4250">
        <w:t xml:space="preserve">This Standards Development </w:t>
      </w:r>
      <w:r w:rsidR="00CE62F7">
        <w:t>Project</w:t>
      </w:r>
      <w:r w:rsidRPr="006A4250">
        <w:t xml:space="preserve"> (SD</w:t>
      </w:r>
      <w:r w:rsidR="00CE62F7">
        <w:t>P</w:t>
      </w:r>
      <w:r w:rsidRPr="006A4250">
        <w:t>) seeks to</w:t>
      </w:r>
      <w:r w:rsidR="003E1F43" w:rsidRPr="006A4250">
        <w:t xml:space="preserve"> identify areas where the</w:t>
      </w:r>
      <w:r w:rsidR="007E1B52" w:rsidRPr="006A4250">
        <w:t xml:space="preserve"> </w:t>
      </w:r>
      <w:r w:rsidRPr="006A4250">
        <w:t>Standards of Lending Practice</w:t>
      </w:r>
      <w:r w:rsidR="007E1B52" w:rsidRPr="006A4250">
        <w:t xml:space="preserve"> </w:t>
      </w:r>
      <w:r w:rsidR="00F313F9" w:rsidRPr="006A4250">
        <w:t xml:space="preserve">(SLP) </w:t>
      </w:r>
      <w:r w:rsidRPr="006A4250">
        <w:t xml:space="preserve">may </w:t>
      </w:r>
      <w:r w:rsidR="00D100D2" w:rsidRPr="006A4250">
        <w:t>benefit from</w:t>
      </w:r>
      <w:r w:rsidRPr="006A4250">
        <w:t xml:space="preserve"> enhancements to ensure that the protections offered </w:t>
      </w:r>
      <w:r w:rsidR="00CE62F7">
        <w:t>take account</w:t>
      </w:r>
      <w:r w:rsidR="00F313F9" w:rsidRPr="006A4250">
        <w:rPr>
          <w:rFonts w:eastAsia="Times New Roman" w:cs="Times New Roman"/>
          <w:color w:val="000000"/>
          <w:lang w:eastAsia="en-GB"/>
        </w:rPr>
        <w:t xml:space="preserve"> of </w:t>
      </w:r>
      <w:r w:rsidR="00D100D2" w:rsidRPr="006A4250">
        <w:rPr>
          <w:rFonts w:eastAsia="Times New Roman" w:cs="Times New Roman"/>
          <w:color w:val="000000"/>
          <w:lang w:eastAsia="en-GB"/>
        </w:rPr>
        <w:t xml:space="preserve">the technological advancements </w:t>
      </w:r>
      <w:r w:rsidR="00F313F9" w:rsidRPr="006A4250">
        <w:rPr>
          <w:rFonts w:eastAsia="Times New Roman" w:cs="Times New Roman"/>
          <w:color w:val="000000"/>
          <w:lang w:eastAsia="en-GB"/>
        </w:rPr>
        <w:t>provided</w:t>
      </w:r>
      <w:r w:rsidR="00D100D2" w:rsidRPr="006A4250">
        <w:rPr>
          <w:rFonts w:eastAsia="Times New Roman" w:cs="Times New Roman"/>
          <w:color w:val="000000"/>
          <w:lang w:eastAsia="en-GB"/>
        </w:rPr>
        <w:t xml:space="preserve"> via</w:t>
      </w:r>
      <w:r w:rsidR="007E1B52" w:rsidRPr="006A4250">
        <w:rPr>
          <w:rFonts w:eastAsia="Times New Roman" w:cs="Times New Roman"/>
          <w:color w:val="000000"/>
          <w:lang w:eastAsia="en-GB"/>
        </w:rPr>
        <w:t xml:space="preserve"> digital channels throughout the customer journey.  </w:t>
      </w:r>
    </w:p>
    <w:p w:rsidR="00A6744B" w:rsidRDefault="00A6744B" w:rsidP="00D90296">
      <w:pPr>
        <w:spacing w:after="0" w:line="240" w:lineRule="auto"/>
        <w:jc w:val="both"/>
        <w:rPr>
          <w:b/>
        </w:rPr>
      </w:pPr>
    </w:p>
    <w:p w:rsidR="00F51049" w:rsidRPr="006A4250" w:rsidRDefault="00F51049" w:rsidP="00D90296">
      <w:pPr>
        <w:spacing w:after="0" w:line="240" w:lineRule="auto"/>
        <w:jc w:val="both"/>
        <w:rPr>
          <w:b/>
        </w:rPr>
      </w:pPr>
    </w:p>
    <w:p w:rsidR="009F3C71" w:rsidRPr="00F51049" w:rsidRDefault="00F51049" w:rsidP="00F51049">
      <w:pPr>
        <w:pStyle w:val="ListParagraph"/>
        <w:numPr>
          <w:ilvl w:val="0"/>
          <w:numId w:val="4"/>
        </w:numPr>
        <w:spacing w:after="0" w:line="240" w:lineRule="auto"/>
        <w:jc w:val="both"/>
        <w:rPr>
          <w:b/>
        </w:rPr>
      </w:pPr>
      <w:r>
        <w:rPr>
          <w:b/>
        </w:rPr>
        <w:t>Purpose and Objectives</w:t>
      </w:r>
    </w:p>
    <w:p w:rsidR="00F51049" w:rsidRDefault="00F51049" w:rsidP="00D90296">
      <w:pPr>
        <w:spacing w:after="0" w:line="240" w:lineRule="auto"/>
        <w:jc w:val="both"/>
      </w:pPr>
    </w:p>
    <w:p w:rsidR="009F3C71" w:rsidRPr="006A4250" w:rsidRDefault="009F3C71" w:rsidP="00D90296">
      <w:pPr>
        <w:spacing w:after="0" w:line="240" w:lineRule="auto"/>
        <w:jc w:val="both"/>
      </w:pPr>
      <w:r w:rsidRPr="006A4250">
        <w:t xml:space="preserve">To </w:t>
      </w:r>
      <w:r w:rsidR="00CE1D6F" w:rsidRPr="006A4250">
        <w:t xml:space="preserve">identify recommendations for updates to the existing </w:t>
      </w:r>
      <w:r w:rsidR="00F313F9" w:rsidRPr="006A4250">
        <w:t>SLP</w:t>
      </w:r>
      <w:r w:rsidR="00741C62" w:rsidRPr="006A4250">
        <w:t xml:space="preserve"> </w:t>
      </w:r>
      <w:r w:rsidR="00CE1D6F" w:rsidRPr="006A4250">
        <w:t xml:space="preserve">or </w:t>
      </w:r>
      <w:r w:rsidR="00534004" w:rsidRPr="006A4250">
        <w:t xml:space="preserve">identify </w:t>
      </w:r>
      <w:r w:rsidR="00CE1D6F" w:rsidRPr="006A4250">
        <w:t xml:space="preserve">new </w:t>
      </w:r>
      <w:r w:rsidR="00741C62" w:rsidRPr="006A4250">
        <w:t>S</w:t>
      </w:r>
      <w:r w:rsidR="00CE1D6F" w:rsidRPr="006A4250">
        <w:t>tandards</w:t>
      </w:r>
      <w:r w:rsidR="0066607E" w:rsidRPr="006A4250">
        <w:t>,</w:t>
      </w:r>
      <w:r w:rsidR="00CE1D6F" w:rsidRPr="006A4250">
        <w:t xml:space="preserve"> which will ensure customers are as protected via </w:t>
      </w:r>
      <w:r w:rsidR="00D100D2" w:rsidRPr="006A4250">
        <w:t xml:space="preserve">a </w:t>
      </w:r>
      <w:r w:rsidR="0066607E" w:rsidRPr="006A4250">
        <w:t>firm</w:t>
      </w:r>
      <w:r w:rsidR="00CC46F0">
        <w:t>’</w:t>
      </w:r>
      <w:r w:rsidR="0066607E" w:rsidRPr="006A4250">
        <w:t>s</w:t>
      </w:r>
      <w:r w:rsidR="00CE1D6F" w:rsidRPr="006A4250">
        <w:t xml:space="preserve"> digital channels as they are via </w:t>
      </w:r>
      <w:r w:rsidR="00F313F9" w:rsidRPr="006A4250">
        <w:t>other channels</w:t>
      </w:r>
      <w:r w:rsidR="00CE1D6F" w:rsidRPr="006A4250">
        <w:t xml:space="preserve">.  The </w:t>
      </w:r>
      <w:r w:rsidR="005F32C8" w:rsidRPr="006A4250">
        <w:t>recommendations should be proportionate and supportive of</w:t>
      </w:r>
      <w:r w:rsidR="00CE1D6F" w:rsidRPr="006A4250">
        <w:t xml:space="preserve"> the benefits that can be realised </w:t>
      </w:r>
      <w:r w:rsidR="007D5F8E" w:rsidRPr="006A4250">
        <w:t>through digita</w:t>
      </w:r>
      <w:r w:rsidR="00D72D49" w:rsidRPr="006A4250">
        <w:t>l</w:t>
      </w:r>
      <w:r w:rsidR="007D5F8E" w:rsidRPr="006A4250">
        <w:t>l</w:t>
      </w:r>
      <w:r w:rsidR="00D72D49" w:rsidRPr="006A4250">
        <w:t>y</w:t>
      </w:r>
      <w:r w:rsidR="007D5F8E" w:rsidRPr="006A4250">
        <w:t xml:space="preserve"> </w:t>
      </w:r>
      <w:r w:rsidR="00D72D49" w:rsidRPr="006A4250">
        <w:t xml:space="preserve">enabled </w:t>
      </w:r>
      <w:r w:rsidR="007D5F8E" w:rsidRPr="006A4250">
        <w:t xml:space="preserve">capabilities </w:t>
      </w:r>
      <w:r w:rsidR="00D72D49" w:rsidRPr="006A4250">
        <w:t xml:space="preserve">(see </w:t>
      </w:r>
      <w:r w:rsidR="00D72D49" w:rsidRPr="006A4250">
        <w:rPr>
          <w:rStyle w:val="FootnoteReference"/>
        </w:rPr>
        <w:footnoteReference w:id="2"/>
      </w:r>
      <w:r w:rsidR="00D72D49" w:rsidRPr="006A4250">
        <w:t xml:space="preserve">Consumer Digital Index), </w:t>
      </w:r>
      <w:r w:rsidR="005F32C8" w:rsidRPr="006A4250">
        <w:t>and</w:t>
      </w:r>
      <w:r w:rsidR="00CE1D6F" w:rsidRPr="006A4250">
        <w:t xml:space="preserve"> the positive impact </w:t>
      </w:r>
      <w:r w:rsidR="005F32C8" w:rsidRPr="006A4250">
        <w:t xml:space="preserve">this can have </w:t>
      </w:r>
      <w:r w:rsidR="00CE1D6F" w:rsidRPr="006A4250">
        <w:t xml:space="preserve">on </w:t>
      </w:r>
      <w:r w:rsidR="00D72D49" w:rsidRPr="006A4250">
        <w:t>consumers’</w:t>
      </w:r>
      <w:r w:rsidR="00CE1D6F" w:rsidRPr="006A4250">
        <w:t xml:space="preserve"> financial </w:t>
      </w:r>
      <w:r w:rsidR="00D72D49" w:rsidRPr="006A4250">
        <w:t>health.</w:t>
      </w:r>
      <w:r w:rsidR="00CE1D6F" w:rsidRPr="006A4250">
        <w:t xml:space="preserve"> </w:t>
      </w:r>
    </w:p>
    <w:p w:rsidR="00F51049" w:rsidRDefault="00F51049" w:rsidP="00D90296">
      <w:pPr>
        <w:spacing w:after="0" w:line="240" w:lineRule="auto"/>
        <w:jc w:val="both"/>
        <w:rPr>
          <w:b/>
        </w:rPr>
      </w:pPr>
    </w:p>
    <w:p w:rsidR="00D100D2" w:rsidRDefault="004D4412" w:rsidP="00D90296">
      <w:pPr>
        <w:spacing w:after="0" w:line="240" w:lineRule="auto"/>
        <w:jc w:val="both"/>
      </w:pPr>
      <w:r w:rsidRPr="006A4250">
        <w:t>T</w:t>
      </w:r>
      <w:r w:rsidR="00D100D2" w:rsidRPr="006A4250">
        <w:t>his SD</w:t>
      </w:r>
      <w:r w:rsidR="00CE62F7">
        <w:t>P</w:t>
      </w:r>
      <w:r w:rsidR="00D100D2" w:rsidRPr="006A4250">
        <w:t xml:space="preserve"> will seek to:</w:t>
      </w:r>
    </w:p>
    <w:p w:rsidR="00F51049" w:rsidRPr="006A4250" w:rsidRDefault="00F51049" w:rsidP="00D90296">
      <w:pPr>
        <w:spacing w:after="0" w:line="240" w:lineRule="auto"/>
        <w:jc w:val="both"/>
      </w:pPr>
    </w:p>
    <w:p w:rsidR="00D100D2" w:rsidRPr="006A4250" w:rsidRDefault="00D100D2" w:rsidP="00D90296">
      <w:pPr>
        <w:pStyle w:val="ListParagraph"/>
        <w:numPr>
          <w:ilvl w:val="0"/>
          <w:numId w:val="2"/>
        </w:numPr>
        <w:spacing w:after="0" w:line="240" w:lineRule="auto"/>
        <w:jc w:val="both"/>
      </w:pPr>
      <w:r w:rsidRPr="006A4250">
        <w:t>Review the firm</w:t>
      </w:r>
      <w:r w:rsidR="00CC46F0">
        <w:t>’</w:t>
      </w:r>
      <w:r w:rsidRPr="006A4250">
        <w:t xml:space="preserve">s horizon scanning of technological advancements and the </w:t>
      </w:r>
      <w:r w:rsidR="00D13DDA">
        <w:rPr>
          <w:rStyle w:val="FootnoteReference"/>
        </w:rPr>
        <w:footnoteReference w:id="3"/>
      </w:r>
      <w:proofErr w:type="spellStart"/>
      <w:r w:rsidRPr="006A4250">
        <w:t>Fintech</w:t>
      </w:r>
      <w:proofErr w:type="spellEnd"/>
      <w:r w:rsidRPr="006A4250">
        <w:t xml:space="preserve"> market more generally to gain an understanding of the processes and considerations when firms are looking to develop their digital capabilities.  </w:t>
      </w:r>
    </w:p>
    <w:p w:rsidR="00D100D2" w:rsidRPr="006A4250" w:rsidRDefault="00F313F9" w:rsidP="00D90296">
      <w:pPr>
        <w:pStyle w:val="ListParagraph"/>
        <w:numPr>
          <w:ilvl w:val="0"/>
          <w:numId w:val="2"/>
        </w:numPr>
        <w:spacing w:after="0" w:line="240" w:lineRule="auto"/>
        <w:jc w:val="both"/>
      </w:pPr>
      <w:r w:rsidRPr="006A4250">
        <w:t xml:space="preserve">Understand the key considerations for firms </w:t>
      </w:r>
      <w:r w:rsidR="00B73785" w:rsidRPr="006A4250">
        <w:t>when designing new or enhanc</w:t>
      </w:r>
      <w:r w:rsidRPr="006A4250">
        <w:t xml:space="preserve">ing existing digital capability, including the process for engaging and working with the </w:t>
      </w:r>
      <w:proofErr w:type="spellStart"/>
      <w:r w:rsidRPr="006A4250">
        <w:t>Fintech</w:t>
      </w:r>
      <w:proofErr w:type="spellEnd"/>
      <w:r w:rsidRPr="006A4250">
        <w:t xml:space="preserve"> sector</w:t>
      </w:r>
      <w:r w:rsidR="004F629A">
        <w:t>.</w:t>
      </w:r>
    </w:p>
    <w:p w:rsidR="00D100D2" w:rsidRPr="006A4250" w:rsidRDefault="00042AB6" w:rsidP="00D90296">
      <w:pPr>
        <w:pStyle w:val="ListParagraph"/>
        <w:numPr>
          <w:ilvl w:val="0"/>
          <w:numId w:val="2"/>
        </w:numPr>
        <w:spacing w:after="0" w:line="240" w:lineRule="auto"/>
        <w:jc w:val="both"/>
      </w:pPr>
      <w:r w:rsidRPr="006A4250">
        <w:t>Understand the i</w:t>
      </w:r>
      <w:r w:rsidR="00D100D2" w:rsidRPr="006A4250">
        <w:t xml:space="preserve">nternal review </w:t>
      </w:r>
      <w:r w:rsidR="00F313F9" w:rsidRPr="006A4250">
        <w:t>processes that assess</w:t>
      </w:r>
      <w:r w:rsidR="00D100D2" w:rsidRPr="006A4250">
        <w:t xml:space="preserve"> the extent to which </w:t>
      </w:r>
      <w:r w:rsidR="00F313F9" w:rsidRPr="006A4250">
        <w:t xml:space="preserve">digital capability is </w:t>
      </w:r>
      <w:r w:rsidR="00D100D2" w:rsidRPr="006A4250">
        <w:t xml:space="preserve">and remains fit for purpose, particularly </w:t>
      </w:r>
      <w:r w:rsidR="00E33EFD" w:rsidRPr="006A4250">
        <w:t>when</w:t>
      </w:r>
      <w:r w:rsidR="00D100D2" w:rsidRPr="006A4250">
        <w:t xml:space="preserve"> integrated within existing legacy systems</w:t>
      </w:r>
      <w:r w:rsidR="00E33EFD" w:rsidRPr="006A4250">
        <w:t xml:space="preserve"> and processes</w:t>
      </w:r>
      <w:r w:rsidR="00D100D2" w:rsidRPr="006A4250">
        <w:t xml:space="preserve">. </w:t>
      </w:r>
    </w:p>
    <w:p w:rsidR="00D100D2" w:rsidRPr="006A4250" w:rsidRDefault="00F313F9" w:rsidP="00D90296">
      <w:pPr>
        <w:pStyle w:val="ListParagraph"/>
        <w:numPr>
          <w:ilvl w:val="0"/>
          <w:numId w:val="2"/>
        </w:numPr>
        <w:spacing w:after="0" w:line="240" w:lineRule="auto"/>
        <w:jc w:val="both"/>
      </w:pPr>
      <w:r w:rsidRPr="006A4250">
        <w:t>Identify t</w:t>
      </w:r>
      <w:r w:rsidR="00D100D2" w:rsidRPr="006A4250">
        <w:t xml:space="preserve">he manner in which firms assess customer outcomes, from design through to launch and beyond. The areas of focus could include the following: </w:t>
      </w:r>
    </w:p>
    <w:p w:rsidR="00D100D2" w:rsidRPr="006A4250" w:rsidRDefault="00D100D2" w:rsidP="00D90296">
      <w:pPr>
        <w:pStyle w:val="ListParagraph"/>
        <w:numPr>
          <w:ilvl w:val="1"/>
          <w:numId w:val="2"/>
        </w:numPr>
        <w:spacing w:after="0" w:line="240" w:lineRule="auto"/>
        <w:jc w:val="both"/>
      </w:pPr>
      <w:r w:rsidRPr="006A4250">
        <w:t xml:space="preserve">Customer outcomes focused assurance MI and monitoring </w:t>
      </w:r>
    </w:p>
    <w:p w:rsidR="00D100D2" w:rsidRPr="006A4250" w:rsidRDefault="00D100D2" w:rsidP="00D90296">
      <w:pPr>
        <w:pStyle w:val="ListParagraph"/>
        <w:numPr>
          <w:ilvl w:val="1"/>
          <w:numId w:val="2"/>
        </w:numPr>
        <w:spacing w:after="0" w:line="240" w:lineRule="auto"/>
        <w:jc w:val="both"/>
      </w:pPr>
      <w:r w:rsidRPr="006A4250">
        <w:t>Complaints analysis</w:t>
      </w:r>
    </w:p>
    <w:p w:rsidR="00D100D2" w:rsidRPr="006A4250" w:rsidRDefault="00D100D2" w:rsidP="00D90296">
      <w:pPr>
        <w:pStyle w:val="ListParagraph"/>
        <w:numPr>
          <w:ilvl w:val="1"/>
          <w:numId w:val="2"/>
        </w:numPr>
        <w:spacing w:after="0" w:line="240" w:lineRule="auto"/>
        <w:jc w:val="both"/>
      </w:pPr>
      <w:r w:rsidRPr="006A4250">
        <w:t xml:space="preserve">Customer feedback </w:t>
      </w:r>
    </w:p>
    <w:p w:rsidR="00D100D2" w:rsidRDefault="001B5727" w:rsidP="00D90296">
      <w:pPr>
        <w:pStyle w:val="ListParagraph"/>
        <w:numPr>
          <w:ilvl w:val="1"/>
          <w:numId w:val="2"/>
        </w:numPr>
        <w:spacing w:after="0" w:line="240" w:lineRule="auto"/>
        <w:jc w:val="both"/>
      </w:pPr>
      <w:r w:rsidRPr="006A4250">
        <w:t>The effectiveness of c</w:t>
      </w:r>
      <w:r w:rsidR="00D100D2" w:rsidRPr="006A4250">
        <w:t>ustomer support options</w:t>
      </w:r>
    </w:p>
    <w:p w:rsidR="0083372E" w:rsidRDefault="0083372E" w:rsidP="00D90296">
      <w:pPr>
        <w:pStyle w:val="ListParagraph"/>
        <w:numPr>
          <w:ilvl w:val="0"/>
          <w:numId w:val="2"/>
        </w:numPr>
        <w:spacing w:after="0" w:line="240" w:lineRule="auto"/>
        <w:jc w:val="both"/>
      </w:pPr>
      <w:r>
        <w:t>Identify and review the effectiveness of the firms’ financial promotions and communications activity within digital channels, in terms of the clarity and pace of information for the customer.</w:t>
      </w:r>
    </w:p>
    <w:p w:rsidR="00EF75E0" w:rsidRDefault="00EF75E0" w:rsidP="00D90296">
      <w:pPr>
        <w:pStyle w:val="ListParagraph"/>
        <w:numPr>
          <w:ilvl w:val="0"/>
          <w:numId w:val="2"/>
        </w:numPr>
        <w:spacing w:after="0" w:line="240" w:lineRule="auto"/>
        <w:jc w:val="both"/>
      </w:pPr>
      <w:r>
        <w:lastRenderedPageBreak/>
        <w:t>Identify and review the firm</w:t>
      </w:r>
      <w:r w:rsidR="00CE62F7">
        <w:t>’</w:t>
      </w:r>
      <w:r>
        <w:t>s digital product sales channels and their effectiveness at enabling products to be purchased</w:t>
      </w:r>
      <w:r w:rsidR="002F5241">
        <w:t xml:space="preserve"> without negative customer outcomes. </w:t>
      </w:r>
      <w:r>
        <w:t xml:space="preserve"> </w:t>
      </w:r>
    </w:p>
    <w:p w:rsidR="002F5241" w:rsidRDefault="002F5241" w:rsidP="00D90296">
      <w:pPr>
        <w:pStyle w:val="ListParagraph"/>
        <w:numPr>
          <w:ilvl w:val="0"/>
          <w:numId w:val="2"/>
        </w:numPr>
        <w:spacing w:after="0" w:line="240" w:lineRule="auto"/>
        <w:jc w:val="both"/>
      </w:pPr>
      <w:r>
        <w:t>Identify and review the effectiveness of the range of digitally enabled account maintenance and servicing activities and the extent to which these are integrated into the firm</w:t>
      </w:r>
      <w:r w:rsidR="009266CB">
        <w:t>’</w:t>
      </w:r>
      <w:r>
        <w:t>s ‘back office’ processes.</w:t>
      </w:r>
    </w:p>
    <w:p w:rsidR="00EF75E0" w:rsidRDefault="002F5241" w:rsidP="00D90296">
      <w:pPr>
        <w:pStyle w:val="ListParagraph"/>
        <w:numPr>
          <w:ilvl w:val="0"/>
          <w:numId w:val="2"/>
        </w:numPr>
        <w:spacing w:after="0" w:line="240" w:lineRule="auto"/>
        <w:jc w:val="both"/>
      </w:pPr>
      <w:r>
        <w:t xml:space="preserve">Review the extent to which data analytics is used within the digital journey to understand customer behaviours and touch points which could lead to negative customer outcomes. </w:t>
      </w:r>
    </w:p>
    <w:p w:rsidR="0083372E" w:rsidRDefault="0083372E" w:rsidP="00D90296">
      <w:pPr>
        <w:spacing w:after="0" w:line="240" w:lineRule="auto"/>
        <w:jc w:val="both"/>
      </w:pPr>
    </w:p>
    <w:p w:rsidR="00F51049" w:rsidRDefault="00F51049" w:rsidP="00D90296">
      <w:pPr>
        <w:spacing w:after="0" w:line="240" w:lineRule="auto"/>
        <w:jc w:val="both"/>
      </w:pPr>
    </w:p>
    <w:p w:rsidR="009F3C71" w:rsidRPr="00F51049" w:rsidRDefault="0066607E" w:rsidP="00F51049">
      <w:pPr>
        <w:pStyle w:val="ListParagraph"/>
        <w:numPr>
          <w:ilvl w:val="0"/>
          <w:numId w:val="4"/>
        </w:numPr>
        <w:spacing w:after="0" w:line="240" w:lineRule="auto"/>
        <w:jc w:val="both"/>
        <w:rPr>
          <w:b/>
        </w:rPr>
      </w:pPr>
      <w:r w:rsidRPr="00F51049">
        <w:rPr>
          <w:b/>
        </w:rPr>
        <w:t>Scope</w:t>
      </w:r>
    </w:p>
    <w:p w:rsidR="00F51049" w:rsidRPr="006A4250" w:rsidRDefault="00F51049" w:rsidP="00D90296">
      <w:pPr>
        <w:spacing w:after="0" w:line="240" w:lineRule="auto"/>
        <w:jc w:val="both"/>
        <w:rPr>
          <w:b/>
        </w:rPr>
      </w:pPr>
    </w:p>
    <w:p w:rsidR="0033372A" w:rsidRDefault="004473B2" w:rsidP="00D90296">
      <w:pPr>
        <w:spacing w:after="0" w:line="240" w:lineRule="auto"/>
        <w:jc w:val="both"/>
      </w:pPr>
      <w:r w:rsidRPr="006A4250">
        <w:t xml:space="preserve">This research project extends across the whole customer journey, </w:t>
      </w:r>
      <w:r w:rsidR="009266CB">
        <w:t>as defined in the SLP</w:t>
      </w:r>
      <w:r w:rsidRPr="006A4250">
        <w:t>,</w:t>
      </w:r>
      <w:r w:rsidR="009266CB">
        <w:t xml:space="preserve"> and </w:t>
      </w:r>
      <w:r w:rsidR="00B8200D" w:rsidRPr="006A4250">
        <w:t>includ</w:t>
      </w:r>
      <w:r w:rsidR="009266CB">
        <w:t>es all products covered by the SLP;</w:t>
      </w:r>
      <w:r w:rsidR="00B8200D" w:rsidRPr="006A4250">
        <w:t xml:space="preserve"> credit cards, loan and overdrafts.  Given the wide </w:t>
      </w:r>
      <w:r w:rsidR="00EF75E0">
        <w:t xml:space="preserve">scope </w:t>
      </w:r>
      <w:r w:rsidR="00B8200D" w:rsidRPr="006A4250">
        <w:t xml:space="preserve">of the review </w:t>
      </w:r>
      <w:r w:rsidR="0083372E">
        <w:t>the SD</w:t>
      </w:r>
      <w:r w:rsidR="00CE62F7">
        <w:t>P</w:t>
      </w:r>
      <w:r w:rsidR="009266CB">
        <w:t xml:space="preserve"> will be split into</w:t>
      </w:r>
      <w:r w:rsidR="0083372E">
        <w:t xml:space="preserve"> a number of phases </w:t>
      </w:r>
      <w:r w:rsidR="00EF75E0">
        <w:t xml:space="preserve">in order </w:t>
      </w:r>
      <w:r w:rsidR="0083372E">
        <w:t xml:space="preserve">to </w:t>
      </w:r>
      <w:r w:rsidR="0083372E" w:rsidRPr="006A4250">
        <w:t xml:space="preserve">ensure sufficient detail and focus can be applied </w:t>
      </w:r>
      <w:r w:rsidR="00EF75E0">
        <w:t xml:space="preserve">to each phase </w:t>
      </w:r>
      <w:r w:rsidR="0083372E" w:rsidRPr="006A4250">
        <w:t xml:space="preserve">and recommendations can be made in a timely manner. </w:t>
      </w:r>
      <w:r w:rsidR="0083372E">
        <w:t xml:space="preserve"> </w:t>
      </w:r>
    </w:p>
    <w:p w:rsidR="00F51049" w:rsidRPr="006A4250" w:rsidRDefault="00F51049" w:rsidP="00D90296">
      <w:pPr>
        <w:spacing w:after="0" w:line="240" w:lineRule="auto"/>
        <w:jc w:val="both"/>
      </w:pPr>
    </w:p>
    <w:p w:rsidR="00A82B3A" w:rsidRDefault="00EE100F" w:rsidP="00D90296">
      <w:pPr>
        <w:spacing w:after="0" w:line="240" w:lineRule="auto"/>
        <w:jc w:val="both"/>
      </w:pPr>
      <w:r w:rsidRPr="006A4250">
        <w:t>The most significant area</w:t>
      </w:r>
      <w:r w:rsidR="00D90708">
        <w:t>s</w:t>
      </w:r>
      <w:r w:rsidRPr="006A4250">
        <w:t xml:space="preserve"> of </w:t>
      </w:r>
      <w:proofErr w:type="spellStart"/>
      <w:r w:rsidRPr="006A4250">
        <w:t>Fintech</w:t>
      </w:r>
      <w:proofErr w:type="spellEnd"/>
      <w:r w:rsidRPr="006A4250">
        <w:t xml:space="preserve"> development </w:t>
      </w:r>
      <w:r w:rsidR="00D90708">
        <w:t>are</w:t>
      </w:r>
      <w:r w:rsidRPr="006A4250">
        <w:t xml:space="preserve"> </w:t>
      </w:r>
      <w:r w:rsidR="00EF75E0">
        <w:t xml:space="preserve">currently </w:t>
      </w:r>
      <w:r w:rsidRPr="006A4250">
        <w:t xml:space="preserve">in relation to financial promotions and communications, product sale, and to a lesser extent account maintenance.  These areas have undergone major change over the last few years, with both existing and challenger banks investing heavily in developing frictionless customer journeys which satisfy the demands for faster and more innovative ways to bank.  This pace of change could present challenges where unforeseen </w:t>
      </w:r>
      <w:r w:rsidR="00416D03" w:rsidRPr="006A4250">
        <w:t xml:space="preserve">issues manifest </w:t>
      </w:r>
      <w:r w:rsidR="009266CB">
        <w:t xml:space="preserve">themselves </w:t>
      </w:r>
      <w:r w:rsidR="00416D03" w:rsidRPr="006A4250">
        <w:t xml:space="preserve">much later in the development cycle than would </w:t>
      </w:r>
      <w:r w:rsidR="009266CB">
        <w:t xml:space="preserve">ordinarily </w:t>
      </w:r>
      <w:r w:rsidR="00416D03" w:rsidRPr="006A4250">
        <w:t xml:space="preserve">be seen </w:t>
      </w:r>
      <w:r w:rsidR="00EF75E0">
        <w:t>for</w:t>
      </w:r>
      <w:r w:rsidR="00416D03" w:rsidRPr="006A4250">
        <w:t xml:space="preserve"> change </w:t>
      </w:r>
      <w:r w:rsidR="00EF75E0">
        <w:t>i</w:t>
      </w:r>
      <w:r w:rsidR="009266CB">
        <w:t>mplemented at a steadier pace.</w:t>
      </w:r>
      <w:r w:rsidR="00D90708">
        <w:t xml:space="preserve"> The first phase of this project will, therefore, focus on these areas.</w:t>
      </w:r>
    </w:p>
    <w:p w:rsidR="00F51049" w:rsidRPr="006A4250" w:rsidRDefault="00F51049" w:rsidP="00D90296">
      <w:pPr>
        <w:spacing w:after="0" w:line="240" w:lineRule="auto"/>
        <w:jc w:val="both"/>
      </w:pPr>
    </w:p>
    <w:p w:rsidR="005B2277" w:rsidRDefault="005B2277" w:rsidP="00D90296">
      <w:pPr>
        <w:spacing w:after="0" w:line="240" w:lineRule="auto"/>
        <w:jc w:val="both"/>
      </w:pPr>
      <w:r w:rsidRPr="006A4250">
        <w:t xml:space="preserve">In terms of products, </w:t>
      </w:r>
      <w:r w:rsidR="003A19EB" w:rsidRPr="006A4250">
        <w:t>whil</w:t>
      </w:r>
      <w:r w:rsidR="00D90708">
        <w:t>e</w:t>
      </w:r>
      <w:r w:rsidR="003A19EB" w:rsidRPr="006A4250">
        <w:t xml:space="preserve"> current accounts appear to have </w:t>
      </w:r>
      <w:r w:rsidR="00D90708">
        <w:t xml:space="preserve">been the subject of </w:t>
      </w:r>
      <w:r w:rsidR="003A19EB" w:rsidRPr="006A4250">
        <w:t xml:space="preserve">the greatest </w:t>
      </w:r>
      <w:proofErr w:type="spellStart"/>
      <w:r w:rsidR="003A19EB" w:rsidRPr="006A4250">
        <w:t>Fintech</w:t>
      </w:r>
      <w:proofErr w:type="spellEnd"/>
      <w:r w:rsidR="003A19EB" w:rsidRPr="006A4250">
        <w:t xml:space="preserve"> advancements, there is benefit in simultaneously reviewing all products </w:t>
      </w:r>
      <w:r w:rsidR="00E0379B" w:rsidRPr="006A4250">
        <w:t>to provide</w:t>
      </w:r>
      <w:r w:rsidR="003A19EB" w:rsidRPr="006A4250">
        <w:t xml:space="preserve"> longer term efficiencies </w:t>
      </w:r>
      <w:r w:rsidR="00E0379B" w:rsidRPr="006A4250">
        <w:t>by</w:t>
      </w:r>
      <w:r w:rsidR="003A19EB" w:rsidRPr="006A4250">
        <w:t xml:space="preserve"> not having to revisit </w:t>
      </w:r>
      <w:r w:rsidR="0066607E" w:rsidRPr="006A4250">
        <w:t>SLP</w:t>
      </w:r>
      <w:r w:rsidR="003A19EB" w:rsidRPr="006A4250">
        <w:t xml:space="preserve"> sections at a later date.   </w:t>
      </w:r>
    </w:p>
    <w:p w:rsidR="00F51049" w:rsidRDefault="00F51049" w:rsidP="00D90296">
      <w:pPr>
        <w:spacing w:after="0" w:line="240" w:lineRule="auto"/>
        <w:jc w:val="both"/>
      </w:pPr>
    </w:p>
    <w:p w:rsidR="00F51049" w:rsidRPr="006A4250" w:rsidRDefault="00F51049" w:rsidP="00D90296">
      <w:pPr>
        <w:spacing w:after="0" w:line="240" w:lineRule="auto"/>
        <w:jc w:val="both"/>
      </w:pPr>
    </w:p>
    <w:p w:rsidR="009F3C71" w:rsidRPr="00F51049" w:rsidRDefault="00AF28C5" w:rsidP="00F51049">
      <w:pPr>
        <w:pStyle w:val="ListParagraph"/>
        <w:numPr>
          <w:ilvl w:val="0"/>
          <w:numId w:val="4"/>
        </w:numPr>
        <w:spacing w:after="0" w:line="240" w:lineRule="auto"/>
        <w:jc w:val="both"/>
        <w:rPr>
          <w:b/>
        </w:rPr>
      </w:pPr>
      <w:r w:rsidRPr="00F51049">
        <w:rPr>
          <w:b/>
        </w:rPr>
        <w:t>Approach</w:t>
      </w:r>
    </w:p>
    <w:p w:rsidR="00F51049" w:rsidRPr="006A4250" w:rsidRDefault="00F51049" w:rsidP="00D90296">
      <w:pPr>
        <w:spacing w:after="0" w:line="240" w:lineRule="auto"/>
        <w:jc w:val="both"/>
        <w:rPr>
          <w:b/>
        </w:rPr>
      </w:pPr>
    </w:p>
    <w:p w:rsidR="009F3C71" w:rsidRDefault="0033372A" w:rsidP="00D90296">
      <w:pPr>
        <w:spacing w:after="0" w:line="240" w:lineRule="auto"/>
        <w:jc w:val="both"/>
      </w:pPr>
      <w:proofErr w:type="spellStart"/>
      <w:r w:rsidRPr="006A4250">
        <w:t>Fintech</w:t>
      </w:r>
      <w:proofErr w:type="spellEnd"/>
      <w:r w:rsidRPr="006A4250">
        <w:t xml:space="preserve"> </w:t>
      </w:r>
      <w:r w:rsidR="00915504" w:rsidRPr="006A4250">
        <w:t xml:space="preserve">and </w:t>
      </w:r>
      <w:proofErr w:type="spellStart"/>
      <w:r w:rsidR="00915504" w:rsidRPr="006A4250">
        <w:t>Regtech</w:t>
      </w:r>
      <w:proofErr w:type="spellEnd"/>
      <w:r w:rsidR="00915504" w:rsidRPr="006A4250">
        <w:t xml:space="preserve"> developments are fast paced a</w:t>
      </w:r>
      <w:r w:rsidRPr="006A4250">
        <w:t xml:space="preserve">nd innovations </w:t>
      </w:r>
      <w:r w:rsidR="00915504" w:rsidRPr="006A4250">
        <w:t>tend to be</w:t>
      </w:r>
      <w:r w:rsidRPr="006A4250">
        <w:t xml:space="preserve"> </w:t>
      </w:r>
      <w:r w:rsidR="00915504" w:rsidRPr="006A4250">
        <w:t xml:space="preserve">kept under wraps until such time as the functionality is ready for general release.  This makes it </w:t>
      </w:r>
      <w:r w:rsidR="007E0F75" w:rsidRPr="006A4250">
        <w:t xml:space="preserve">more </w:t>
      </w:r>
      <w:r w:rsidR="00915504" w:rsidRPr="006A4250">
        <w:t xml:space="preserve">challenging to maintain a current view of digital </w:t>
      </w:r>
      <w:r w:rsidR="00D90708">
        <w:t>developments</w:t>
      </w:r>
      <w:r w:rsidR="00915504" w:rsidRPr="006A4250">
        <w:t xml:space="preserve"> and</w:t>
      </w:r>
      <w:r w:rsidR="00D90708">
        <w:t>,</w:t>
      </w:r>
      <w:r w:rsidR="00915504" w:rsidRPr="006A4250">
        <w:t xml:space="preserve"> more importantly</w:t>
      </w:r>
      <w:r w:rsidR="007E0F75" w:rsidRPr="006A4250">
        <w:t>, to</w:t>
      </w:r>
      <w:r w:rsidR="00915504" w:rsidRPr="006A4250">
        <w:t xml:space="preserve"> understand the impact this could have </w:t>
      </w:r>
      <w:r w:rsidR="007E0F75" w:rsidRPr="006A4250">
        <w:t xml:space="preserve">on </w:t>
      </w:r>
      <w:r w:rsidR="00915504" w:rsidRPr="006A4250">
        <w:t xml:space="preserve">customers.  </w:t>
      </w:r>
      <w:r w:rsidR="00D90708">
        <w:t>D</w:t>
      </w:r>
      <w:r w:rsidR="00901013" w:rsidRPr="006A4250">
        <w:t xml:space="preserve">evelopments are also more prevalent and innovative in the ‘start-up’ sector with </w:t>
      </w:r>
      <w:r w:rsidR="00416D03" w:rsidRPr="006A4250">
        <w:t xml:space="preserve">challenger banks typically </w:t>
      </w:r>
      <w:r w:rsidR="00901013" w:rsidRPr="006A4250">
        <w:t xml:space="preserve">moving away from traditional banking </w:t>
      </w:r>
      <w:r w:rsidR="00416D03" w:rsidRPr="006A4250">
        <w:t>processes</w:t>
      </w:r>
      <w:r w:rsidR="00901013" w:rsidRPr="006A4250">
        <w:t xml:space="preserve"> and </w:t>
      </w:r>
      <w:r w:rsidR="00534004" w:rsidRPr="006A4250">
        <w:t>providing an</w:t>
      </w:r>
      <w:r w:rsidR="00901013" w:rsidRPr="006A4250">
        <w:t xml:space="preserve"> </w:t>
      </w:r>
      <w:r w:rsidR="00416D03" w:rsidRPr="006A4250">
        <w:t xml:space="preserve">end to end </w:t>
      </w:r>
      <w:r w:rsidR="00901013" w:rsidRPr="006A4250">
        <w:t>digital</w:t>
      </w:r>
      <w:r w:rsidR="00416D03" w:rsidRPr="006A4250">
        <w:t xml:space="preserve"> </w:t>
      </w:r>
      <w:r w:rsidR="00901013" w:rsidRPr="006A4250">
        <w:t xml:space="preserve">offering. </w:t>
      </w:r>
    </w:p>
    <w:p w:rsidR="00F51049" w:rsidRPr="006A4250" w:rsidRDefault="00F51049" w:rsidP="00D90296">
      <w:pPr>
        <w:spacing w:after="0" w:line="240" w:lineRule="auto"/>
        <w:jc w:val="both"/>
      </w:pPr>
    </w:p>
    <w:p w:rsidR="000E611E" w:rsidRDefault="00915504" w:rsidP="00D90296">
      <w:pPr>
        <w:spacing w:after="0" w:line="240" w:lineRule="auto"/>
        <w:jc w:val="both"/>
      </w:pPr>
      <w:r w:rsidRPr="006A4250">
        <w:t xml:space="preserve">In order for </w:t>
      </w:r>
      <w:r w:rsidR="00416D03" w:rsidRPr="006A4250">
        <w:t>us</w:t>
      </w:r>
      <w:r w:rsidRPr="006A4250">
        <w:t xml:space="preserve"> to gain a contemporary view we </w:t>
      </w:r>
      <w:r w:rsidR="00970AA5">
        <w:t xml:space="preserve">will </w:t>
      </w:r>
      <w:r w:rsidR="00532CA2" w:rsidRPr="006A4250">
        <w:t>engage with experts from</w:t>
      </w:r>
      <w:r w:rsidRPr="006A4250">
        <w:t xml:space="preserve"> the </w:t>
      </w:r>
      <w:proofErr w:type="spellStart"/>
      <w:r w:rsidR="004F4E95" w:rsidRPr="006A4250">
        <w:t>Fintech</w:t>
      </w:r>
      <w:proofErr w:type="spellEnd"/>
      <w:r w:rsidR="004F4E95" w:rsidRPr="006A4250">
        <w:t xml:space="preserve"> </w:t>
      </w:r>
      <w:r w:rsidRPr="006A4250">
        <w:t xml:space="preserve">industry, both from within and beyond our </w:t>
      </w:r>
      <w:r w:rsidR="004F4E95" w:rsidRPr="006A4250">
        <w:t>registered firms</w:t>
      </w:r>
      <w:r w:rsidRPr="006A4250">
        <w:t>. The FCA ha</w:t>
      </w:r>
      <w:r w:rsidR="00D90708">
        <w:t>s</w:t>
      </w:r>
      <w:r w:rsidRPr="006A4250">
        <w:t xml:space="preserve"> also established a </w:t>
      </w:r>
      <w:proofErr w:type="spellStart"/>
      <w:r w:rsidRPr="006A4250">
        <w:t>Regtech</w:t>
      </w:r>
      <w:proofErr w:type="spellEnd"/>
      <w:r w:rsidRPr="006A4250">
        <w:t xml:space="preserve"> programme of activity </w:t>
      </w:r>
      <w:r w:rsidR="000E611E" w:rsidRPr="006A4250">
        <w:t xml:space="preserve">with the same broad aim of developing understanding and identifying areas which could lead to increased customer risk.  </w:t>
      </w:r>
      <w:r w:rsidR="00CB2BC4" w:rsidRPr="006A4250">
        <w:t>Maintaining a watching brief o</w:t>
      </w:r>
      <w:r w:rsidR="00D90708">
        <w:t>ver</w:t>
      </w:r>
      <w:r w:rsidR="00CB2BC4" w:rsidRPr="006A4250">
        <w:t xml:space="preserve"> the </w:t>
      </w:r>
      <w:r w:rsidR="000E611E" w:rsidRPr="006A4250">
        <w:t>FCA</w:t>
      </w:r>
      <w:r w:rsidR="00970AA5">
        <w:t>’</w:t>
      </w:r>
      <w:r w:rsidR="000E611E" w:rsidRPr="006A4250">
        <w:t xml:space="preserve">s </w:t>
      </w:r>
      <w:proofErr w:type="spellStart"/>
      <w:r w:rsidR="000E611E" w:rsidRPr="006A4250">
        <w:t>Regtech</w:t>
      </w:r>
      <w:proofErr w:type="spellEnd"/>
      <w:r w:rsidR="000E611E" w:rsidRPr="006A4250">
        <w:t xml:space="preserve"> agenda will provide an opportunity to align our thinking and </w:t>
      </w:r>
      <w:r w:rsidR="004F4E95" w:rsidRPr="006A4250">
        <w:t xml:space="preserve">provides the potential to address joint concerns via </w:t>
      </w:r>
      <w:r w:rsidR="00CB2BC4" w:rsidRPr="006A4250">
        <w:t xml:space="preserve">the </w:t>
      </w:r>
      <w:r w:rsidR="00E0379B" w:rsidRPr="006A4250">
        <w:t>SLP</w:t>
      </w:r>
      <w:r w:rsidR="00CB2BC4" w:rsidRPr="006A4250">
        <w:t xml:space="preserve"> </w:t>
      </w:r>
      <w:r w:rsidR="000E611E" w:rsidRPr="006A4250">
        <w:t xml:space="preserve">at a pace that is commensurate with </w:t>
      </w:r>
      <w:r w:rsidR="00970AA5">
        <w:t>that</w:t>
      </w:r>
      <w:r w:rsidR="00CB2BC4" w:rsidRPr="006A4250">
        <w:t xml:space="preserve"> of </w:t>
      </w:r>
      <w:proofErr w:type="spellStart"/>
      <w:r w:rsidR="00CB2BC4" w:rsidRPr="006A4250">
        <w:t>Fintech</w:t>
      </w:r>
      <w:proofErr w:type="spellEnd"/>
      <w:r w:rsidR="00CB2BC4" w:rsidRPr="006A4250">
        <w:t xml:space="preserve"> and </w:t>
      </w:r>
      <w:proofErr w:type="spellStart"/>
      <w:r w:rsidR="00CB2BC4" w:rsidRPr="006A4250">
        <w:t>Regtech</w:t>
      </w:r>
      <w:proofErr w:type="spellEnd"/>
      <w:r w:rsidR="00CB2BC4" w:rsidRPr="006A4250">
        <w:t xml:space="preserve"> </w:t>
      </w:r>
      <w:r w:rsidR="000E611E" w:rsidRPr="006A4250">
        <w:t xml:space="preserve">innovation. </w:t>
      </w:r>
    </w:p>
    <w:p w:rsidR="00F51049" w:rsidRPr="006A4250" w:rsidRDefault="00F51049" w:rsidP="00D90296">
      <w:pPr>
        <w:spacing w:after="0" w:line="240" w:lineRule="auto"/>
        <w:jc w:val="both"/>
      </w:pPr>
    </w:p>
    <w:p w:rsidR="00414A6D" w:rsidRPr="006A4250" w:rsidRDefault="00C431C2" w:rsidP="00D90296">
      <w:pPr>
        <w:spacing w:after="0" w:line="240" w:lineRule="auto"/>
        <w:jc w:val="both"/>
      </w:pPr>
      <w:r w:rsidRPr="006A4250">
        <w:t xml:space="preserve">The customer’s experiences are central to understanding the impact of digital technology and so we will also seek </w:t>
      </w:r>
      <w:r w:rsidR="006C29E7" w:rsidRPr="006A4250">
        <w:t xml:space="preserve">to </w:t>
      </w:r>
      <w:r w:rsidR="00416D03" w:rsidRPr="006A4250">
        <w:t>understand how regulation generally is impacting upon the custom</w:t>
      </w:r>
      <w:r w:rsidRPr="006A4250">
        <w:t xml:space="preserve">er experience in terms of disclosure requirements and the confidence that can be placed on </w:t>
      </w:r>
      <w:proofErr w:type="spellStart"/>
      <w:r w:rsidRPr="006A4250">
        <w:t>Regtech</w:t>
      </w:r>
      <w:proofErr w:type="spellEnd"/>
      <w:r w:rsidRPr="006A4250">
        <w:t xml:space="preserve"> solutions.  As well as reviewing the firm</w:t>
      </w:r>
      <w:r w:rsidR="00D90708">
        <w:t>’</w:t>
      </w:r>
      <w:r w:rsidRPr="006A4250">
        <w:t>s own internal conduct MI to we will also consider other sources of information and research</w:t>
      </w:r>
      <w:r w:rsidR="00D90708">
        <w:t>,</w:t>
      </w:r>
      <w:r w:rsidRPr="006A4250">
        <w:t xml:space="preserve"> and engage with the Financial Ombudsman</w:t>
      </w:r>
      <w:r w:rsidR="00D90708">
        <w:t xml:space="preserve"> Service</w:t>
      </w:r>
      <w:r w:rsidRPr="006A4250">
        <w:t xml:space="preserve"> to fully understand the customer impacts and any risks which could be addressed through the SLP. </w:t>
      </w:r>
    </w:p>
    <w:p w:rsidR="00414A6D" w:rsidRPr="00F51049" w:rsidRDefault="00414A6D" w:rsidP="00F51049">
      <w:pPr>
        <w:pStyle w:val="ListParagraph"/>
        <w:numPr>
          <w:ilvl w:val="0"/>
          <w:numId w:val="4"/>
        </w:numPr>
        <w:spacing w:after="0" w:line="240" w:lineRule="auto"/>
        <w:jc w:val="both"/>
        <w:rPr>
          <w:b/>
        </w:rPr>
      </w:pPr>
      <w:r w:rsidRPr="00F51049">
        <w:rPr>
          <w:b/>
        </w:rPr>
        <w:lastRenderedPageBreak/>
        <w:t xml:space="preserve">Output </w:t>
      </w:r>
    </w:p>
    <w:p w:rsidR="00F51049" w:rsidRPr="006A4250" w:rsidRDefault="00F51049" w:rsidP="00D90296">
      <w:pPr>
        <w:spacing w:after="0" w:line="240" w:lineRule="auto"/>
        <w:jc w:val="both"/>
        <w:rPr>
          <w:b/>
        </w:rPr>
      </w:pPr>
    </w:p>
    <w:p w:rsidR="00970AA5" w:rsidRDefault="00C431C2" w:rsidP="00D90296">
      <w:pPr>
        <w:spacing w:after="0" w:line="240" w:lineRule="auto"/>
        <w:jc w:val="both"/>
      </w:pPr>
      <w:r w:rsidRPr="006A4250">
        <w:t xml:space="preserve">The </w:t>
      </w:r>
      <w:r w:rsidR="004D4412" w:rsidRPr="006A4250">
        <w:t xml:space="preserve">findings and </w:t>
      </w:r>
      <w:r w:rsidR="004512AC" w:rsidRPr="006A4250">
        <w:t>recommendations</w:t>
      </w:r>
      <w:r w:rsidR="00CF1045">
        <w:t xml:space="preserve"> from this project </w:t>
      </w:r>
      <w:r w:rsidR="004D4412" w:rsidRPr="006A4250">
        <w:t>will</w:t>
      </w:r>
      <w:r w:rsidR="003E1F43" w:rsidRPr="006A4250">
        <w:t xml:space="preserve"> </w:t>
      </w:r>
      <w:r w:rsidR="00970AA5">
        <w:t xml:space="preserve">be </w:t>
      </w:r>
      <w:r w:rsidR="00CF1045">
        <w:t xml:space="preserve">summarised in a report that will be published on our website in December.  We will consider how the output can inform the </w:t>
      </w:r>
      <w:r w:rsidR="004D4412" w:rsidRPr="006A4250">
        <w:t xml:space="preserve">development of </w:t>
      </w:r>
      <w:r w:rsidR="00CF1045">
        <w:t xml:space="preserve">the </w:t>
      </w:r>
      <w:r w:rsidR="004D4412" w:rsidRPr="006A4250">
        <w:t>SLP</w:t>
      </w:r>
      <w:r w:rsidR="00CF1045">
        <w:t xml:space="preserve"> and the LSB’s supporting information for practitioners, ensuring that they are pragmatic, customer focused and, as far as can be reasonably achieved, future-proofed. </w:t>
      </w:r>
    </w:p>
    <w:p w:rsidR="00970AA5" w:rsidRDefault="00970AA5" w:rsidP="00D90296">
      <w:pPr>
        <w:spacing w:after="0" w:line="240" w:lineRule="auto"/>
        <w:jc w:val="both"/>
      </w:pPr>
    </w:p>
    <w:p w:rsidR="004512AC" w:rsidRPr="006A4250" w:rsidRDefault="00970AA5" w:rsidP="00D90296">
      <w:pPr>
        <w:spacing w:after="0" w:line="240" w:lineRule="auto"/>
        <w:jc w:val="both"/>
      </w:pPr>
      <w:r>
        <w:t xml:space="preserve">The </w:t>
      </w:r>
      <w:r w:rsidR="00A032F5">
        <w:t>SLP review group (</w:t>
      </w:r>
      <w:r>
        <w:t>Content and Form</w:t>
      </w:r>
      <w:r w:rsidR="00A032F5">
        <w:t xml:space="preserve">) </w:t>
      </w:r>
      <w:r w:rsidR="0052498B">
        <w:t xml:space="preserve">will be </w:t>
      </w:r>
      <w:r w:rsidR="004F629A">
        <w:t>engaged at the</w:t>
      </w:r>
      <w:r>
        <w:t xml:space="preserve"> </w:t>
      </w:r>
      <w:r w:rsidR="004F629A">
        <w:t xml:space="preserve">final </w:t>
      </w:r>
      <w:r>
        <w:t>review</w:t>
      </w:r>
      <w:r w:rsidR="004F629A">
        <w:t xml:space="preserve"> stage</w:t>
      </w:r>
      <w:r>
        <w:t xml:space="preserve">, </w:t>
      </w:r>
      <w:r w:rsidR="004F629A">
        <w:t>following which</w:t>
      </w:r>
      <w:r>
        <w:t xml:space="preserve"> the final </w:t>
      </w:r>
      <w:r w:rsidR="0052498B">
        <w:t>recommendations</w:t>
      </w:r>
      <w:r>
        <w:t xml:space="preserve"> </w:t>
      </w:r>
      <w:r w:rsidR="004F629A">
        <w:t>can be</w:t>
      </w:r>
      <w:r w:rsidR="0052498B">
        <w:t xml:space="preserve"> provided to</w:t>
      </w:r>
      <w:r>
        <w:t xml:space="preserve"> t</w:t>
      </w:r>
      <w:r w:rsidR="004D4412" w:rsidRPr="006A4250">
        <w:t xml:space="preserve">he SLP sponsors </w:t>
      </w:r>
      <w:r w:rsidR="004F629A">
        <w:t>for consideration</w:t>
      </w:r>
      <w:r w:rsidR="004D4412" w:rsidRPr="006A4250">
        <w:t xml:space="preserve"> and </w:t>
      </w:r>
      <w:r w:rsidR="00A032F5">
        <w:t>sign-off, and the LSB will update its supporting information for practitioners</w:t>
      </w:r>
      <w:r w:rsidR="004D4412" w:rsidRPr="006A4250">
        <w:t xml:space="preserve">. </w:t>
      </w:r>
    </w:p>
    <w:p w:rsidR="00AB3CA1" w:rsidRPr="006A4250" w:rsidRDefault="00AB3CA1" w:rsidP="00D90296">
      <w:pPr>
        <w:spacing w:after="0" w:line="240" w:lineRule="auto"/>
        <w:jc w:val="both"/>
      </w:pPr>
    </w:p>
    <w:p w:rsidR="00240F96" w:rsidRPr="006A4250" w:rsidRDefault="00AB3CA1" w:rsidP="00D90296">
      <w:pPr>
        <w:spacing w:after="0" w:line="240" w:lineRule="auto"/>
        <w:jc w:val="both"/>
      </w:pPr>
      <w:r w:rsidRPr="006A4250">
        <w:t xml:space="preserve">The </w:t>
      </w:r>
      <w:r w:rsidR="00A032F5">
        <w:t>future phases of the digital SDP are indicated below. The timing and ordering of these phases will be determined by the output from this initial phase.</w:t>
      </w:r>
    </w:p>
    <w:p w:rsidR="00AB3CA1" w:rsidRDefault="00AB3CA1" w:rsidP="00D90296">
      <w:pPr>
        <w:spacing w:after="0" w:line="240" w:lineRule="auto"/>
        <w:jc w:val="both"/>
      </w:pPr>
    </w:p>
    <w:p w:rsidR="00F51049" w:rsidRPr="006A4250" w:rsidRDefault="00F51049" w:rsidP="00F51049">
      <w:pPr>
        <w:spacing w:after="0" w:line="240" w:lineRule="auto"/>
        <w:jc w:val="both"/>
      </w:pPr>
    </w:p>
    <w:p w:rsidR="00AB3CA1" w:rsidRDefault="00AB3CA1" w:rsidP="00F51049">
      <w:pPr>
        <w:pStyle w:val="Heading2"/>
        <w:numPr>
          <w:ilvl w:val="0"/>
          <w:numId w:val="4"/>
        </w:numPr>
        <w:spacing w:before="0" w:line="240" w:lineRule="auto"/>
        <w:jc w:val="both"/>
        <w:rPr>
          <w:rFonts w:asciiTheme="minorHAnsi" w:hAnsiTheme="minorHAnsi"/>
          <w:sz w:val="22"/>
          <w:szCs w:val="22"/>
        </w:rPr>
      </w:pPr>
      <w:r w:rsidRPr="006A4250">
        <w:rPr>
          <w:rFonts w:asciiTheme="minorHAnsi" w:hAnsiTheme="minorHAnsi"/>
          <w:sz w:val="22"/>
          <w:szCs w:val="22"/>
        </w:rPr>
        <w:t xml:space="preserve">Schedule </w:t>
      </w:r>
    </w:p>
    <w:p w:rsidR="00F51049" w:rsidRPr="00F51049" w:rsidRDefault="00F51049" w:rsidP="00F51049">
      <w:pPr>
        <w:spacing w:after="0" w:line="240" w:lineRule="auto"/>
      </w:pPr>
    </w:p>
    <w:tbl>
      <w:tblPr>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tblPr>
      <w:tblGrid>
        <w:gridCol w:w="2518"/>
        <w:gridCol w:w="6724"/>
      </w:tblGrid>
      <w:tr w:rsidR="00AB3CA1" w:rsidRPr="00F51049" w:rsidTr="00F51049">
        <w:trPr>
          <w:trHeight w:val="397"/>
        </w:trPr>
        <w:tc>
          <w:tcPr>
            <w:tcW w:w="2518" w:type="dxa"/>
            <w:shd w:val="clear" w:color="auto" w:fill="17365D" w:themeFill="text2" w:themeFillShade="BF"/>
            <w:vAlign w:val="center"/>
          </w:tcPr>
          <w:p w:rsidR="00AB3CA1" w:rsidRPr="00F51049" w:rsidRDefault="00AB3CA1" w:rsidP="00D90296">
            <w:pPr>
              <w:spacing w:after="0" w:line="240" w:lineRule="auto"/>
              <w:jc w:val="both"/>
              <w:rPr>
                <w:b/>
                <w:color w:val="FFFFFF" w:themeColor="background1"/>
              </w:rPr>
            </w:pPr>
            <w:r w:rsidRPr="00F51049">
              <w:rPr>
                <w:b/>
                <w:color w:val="FFFFFF" w:themeColor="background1"/>
              </w:rPr>
              <w:t>Key dates</w:t>
            </w:r>
          </w:p>
        </w:tc>
        <w:tc>
          <w:tcPr>
            <w:tcW w:w="6724" w:type="dxa"/>
            <w:shd w:val="clear" w:color="auto" w:fill="17365D" w:themeFill="text2" w:themeFillShade="BF"/>
            <w:vAlign w:val="center"/>
          </w:tcPr>
          <w:p w:rsidR="00AB3CA1" w:rsidRPr="00F51049" w:rsidRDefault="00AB3CA1" w:rsidP="00D90296">
            <w:pPr>
              <w:spacing w:after="0" w:line="240" w:lineRule="auto"/>
              <w:jc w:val="both"/>
              <w:rPr>
                <w:b/>
                <w:color w:val="FFFFFF" w:themeColor="background1"/>
              </w:rPr>
            </w:pPr>
            <w:r w:rsidRPr="00F51049">
              <w:rPr>
                <w:b/>
                <w:color w:val="FFFFFF" w:themeColor="background1"/>
              </w:rPr>
              <w:t>Activity</w:t>
            </w:r>
          </w:p>
        </w:tc>
      </w:tr>
      <w:tr w:rsidR="00AB3CA1" w:rsidRPr="006A4250" w:rsidTr="00F51049">
        <w:trPr>
          <w:trHeight w:val="510"/>
        </w:trPr>
        <w:tc>
          <w:tcPr>
            <w:tcW w:w="2518" w:type="dxa"/>
            <w:vAlign w:val="center"/>
          </w:tcPr>
          <w:p w:rsidR="00AB3CA1" w:rsidRPr="00F51049" w:rsidRDefault="00AB3CA1" w:rsidP="00F51049">
            <w:pPr>
              <w:spacing w:after="0" w:line="240" w:lineRule="auto"/>
              <w:rPr>
                <w:sz w:val="20"/>
                <w:szCs w:val="20"/>
              </w:rPr>
            </w:pPr>
            <w:r w:rsidRPr="00F51049">
              <w:rPr>
                <w:sz w:val="20"/>
                <w:szCs w:val="20"/>
              </w:rPr>
              <w:t xml:space="preserve">July 2016 </w:t>
            </w:r>
          </w:p>
        </w:tc>
        <w:tc>
          <w:tcPr>
            <w:tcW w:w="6724" w:type="dxa"/>
            <w:vAlign w:val="center"/>
          </w:tcPr>
          <w:p w:rsidR="00AB3CA1" w:rsidRPr="00F51049" w:rsidRDefault="00A032F5" w:rsidP="00F51049">
            <w:pPr>
              <w:spacing w:after="0" w:line="240" w:lineRule="auto"/>
              <w:rPr>
                <w:sz w:val="20"/>
                <w:szCs w:val="20"/>
              </w:rPr>
            </w:pPr>
            <w:r w:rsidRPr="00F51049">
              <w:rPr>
                <w:sz w:val="20"/>
                <w:szCs w:val="20"/>
              </w:rPr>
              <w:t>I</w:t>
            </w:r>
            <w:r w:rsidR="00AB3CA1" w:rsidRPr="00F51049">
              <w:rPr>
                <w:sz w:val="20"/>
                <w:szCs w:val="20"/>
              </w:rPr>
              <w:t>nitial engagement with selected firms to discuss the terms of reference and explain the areas we wish to explore further</w:t>
            </w:r>
          </w:p>
        </w:tc>
      </w:tr>
      <w:tr w:rsidR="00AB3CA1" w:rsidRPr="006A4250" w:rsidTr="00F51049">
        <w:trPr>
          <w:trHeight w:val="510"/>
        </w:trPr>
        <w:tc>
          <w:tcPr>
            <w:tcW w:w="2518" w:type="dxa"/>
            <w:vAlign w:val="center"/>
          </w:tcPr>
          <w:p w:rsidR="00AB3CA1" w:rsidRPr="00F51049" w:rsidRDefault="00AB3CA1" w:rsidP="00F51049">
            <w:pPr>
              <w:spacing w:after="0" w:line="240" w:lineRule="auto"/>
              <w:rPr>
                <w:sz w:val="20"/>
                <w:szCs w:val="20"/>
              </w:rPr>
            </w:pPr>
            <w:r w:rsidRPr="00F51049">
              <w:rPr>
                <w:sz w:val="20"/>
                <w:szCs w:val="20"/>
              </w:rPr>
              <w:t xml:space="preserve">July </w:t>
            </w:r>
            <w:r w:rsidR="00532CA2" w:rsidRPr="00F51049">
              <w:rPr>
                <w:sz w:val="20"/>
                <w:szCs w:val="20"/>
              </w:rPr>
              <w:t xml:space="preserve">– August </w:t>
            </w:r>
            <w:r w:rsidRPr="00F51049">
              <w:rPr>
                <w:sz w:val="20"/>
                <w:szCs w:val="20"/>
              </w:rPr>
              <w:t>2016</w:t>
            </w:r>
          </w:p>
        </w:tc>
        <w:tc>
          <w:tcPr>
            <w:tcW w:w="6724" w:type="dxa"/>
            <w:vAlign w:val="center"/>
          </w:tcPr>
          <w:p w:rsidR="00AB3CA1" w:rsidRPr="00F51049" w:rsidRDefault="00AB3CA1" w:rsidP="00F51049">
            <w:pPr>
              <w:spacing w:after="0" w:line="240" w:lineRule="auto"/>
              <w:rPr>
                <w:sz w:val="20"/>
                <w:szCs w:val="20"/>
              </w:rPr>
            </w:pPr>
            <w:r w:rsidRPr="00F51049">
              <w:rPr>
                <w:sz w:val="20"/>
                <w:szCs w:val="20"/>
              </w:rPr>
              <w:t>Discussions with a variety of start-</w:t>
            </w:r>
            <w:r w:rsidR="0052498B" w:rsidRPr="00F51049">
              <w:rPr>
                <w:sz w:val="20"/>
                <w:szCs w:val="20"/>
              </w:rPr>
              <w:t>ups and</w:t>
            </w:r>
            <w:r w:rsidRPr="00F51049">
              <w:rPr>
                <w:sz w:val="20"/>
                <w:szCs w:val="20"/>
              </w:rPr>
              <w:t xml:space="preserve"> challenger banks</w:t>
            </w:r>
          </w:p>
        </w:tc>
      </w:tr>
      <w:tr w:rsidR="00AB3CA1" w:rsidRPr="006A4250" w:rsidTr="00F51049">
        <w:trPr>
          <w:trHeight w:val="510"/>
        </w:trPr>
        <w:tc>
          <w:tcPr>
            <w:tcW w:w="2518" w:type="dxa"/>
            <w:vAlign w:val="center"/>
          </w:tcPr>
          <w:p w:rsidR="00AB3CA1" w:rsidRPr="00F51049" w:rsidRDefault="00AB3CA1" w:rsidP="00F51049">
            <w:pPr>
              <w:spacing w:after="0" w:line="240" w:lineRule="auto"/>
              <w:rPr>
                <w:sz w:val="20"/>
                <w:szCs w:val="20"/>
              </w:rPr>
            </w:pPr>
            <w:r w:rsidRPr="00F51049">
              <w:rPr>
                <w:sz w:val="20"/>
                <w:szCs w:val="20"/>
              </w:rPr>
              <w:t xml:space="preserve">August </w:t>
            </w:r>
            <w:r w:rsidR="00532CA2" w:rsidRPr="00F51049">
              <w:rPr>
                <w:sz w:val="20"/>
                <w:szCs w:val="20"/>
              </w:rPr>
              <w:t>–</w:t>
            </w:r>
            <w:r w:rsidRPr="00F51049">
              <w:rPr>
                <w:sz w:val="20"/>
                <w:szCs w:val="20"/>
              </w:rPr>
              <w:t xml:space="preserve"> </w:t>
            </w:r>
            <w:r w:rsidR="00532CA2" w:rsidRPr="00F51049">
              <w:rPr>
                <w:sz w:val="20"/>
                <w:szCs w:val="20"/>
              </w:rPr>
              <w:t>October</w:t>
            </w:r>
            <w:r w:rsidRPr="00F51049">
              <w:rPr>
                <w:sz w:val="20"/>
                <w:szCs w:val="20"/>
              </w:rPr>
              <w:t xml:space="preserve"> 2016</w:t>
            </w:r>
          </w:p>
        </w:tc>
        <w:tc>
          <w:tcPr>
            <w:tcW w:w="6724" w:type="dxa"/>
            <w:vAlign w:val="center"/>
          </w:tcPr>
          <w:p w:rsidR="00AB3CA1" w:rsidRPr="00F51049" w:rsidRDefault="00532CA2" w:rsidP="00F51049">
            <w:pPr>
              <w:spacing w:after="0" w:line="240" w:lineRule="auto"/>
              <w:rPr>
                <w:sz w:val="20"/>
                <w:szCs w:val="20"/>
              </w:rPr>
            </w:pPr>
            <w:r w:rsidRPr="00F51049">
              <w:rPr>
                <w:sz w:val="20"/>
                <w:szCs w:val="20"/>
              </w:rPr>
              <w:t>O</w:t>
            </w:r>
            <w:r w:rsidR="00AB3CA1" w:rsidRPr="00F51049">
              <w:rPr>
                <w:sz w:val="20"/>
                <w:szCs w:val="20"/>
              </w:rPr>
              <w:t>n-site discussions with the registered firms</w:t>
            </w:r>
            <w:r w:rsidR="00A032F5" w:rsidRPr="00F51049">
              <w:rPr>
                <w:sz w:val="20"/>
                <w:szCs w:val="20"/>
              </w:rPr>
              <w:t>’</w:t>
            </w:r>
            <w:r w:rsidR="00AB3CA1" w:rsidRPr="00F51049">
              <w:rPr>
                <w:sz w:val="20"/>
                <w:szCs w:val="20"/>
              </w:rPr>
              <w:t xml:space="preserve"> subject matter experts and operational </w:t>
            </w:r>
            <w:r w:rsidR="00A032F5" w:rsidRPr="00F51049">
              <w:rPr>
                <w:sz w:val="20"/>
                <w:szCs w:val="20"/>
              </w:rPr>
              <w:t>members of staff</w:t>
            </w:r>
          </w:p>
        </w:tc>
      </w:tr>
      <w:tr w:rsidR="00AB3CA1" w:rsidRPr="006A4250" w:rsidTr="00F51049">
        <w:trPr>
          <w:trHeight w:val="510"/>
        </w:trPr>
        <w:tc>
          <w:tcPr>
            <w:tcW w:w="2518" w:type="dxa"/>
            <w:vAlign w:val="center"/>
          </w:tcPr>
          <w:p w:rsidR="00AB3CA1" w:rsidRPr="00F51049" w:rsidRDefault="00AB3CA1" w:rsidP="00F51049">
            <w:pPr>
              <w:spacing w:after="0" w:line="240" w:lineRule="auto"/>
              <w:rPr>
                <w:sz w:val="20"/>
                <w:szCs w:val="20"/>
              </w:rPr>
            </w:pPr>
            <w:r w:rsidRPr="00F51049">
              <w:rPr>
                <w:sz w:val="20"/>
                <w:szCs w:val="20"/>
              </w:rPr>
              <w:t xml:space="preserve">October </w:t>
            </w:r>
            <w:r w:rsidR="00532CA2" w:rsidRPr="00F51049">
              <w:rPr>
                <w:sz w:val="20"/>
                <w:szCs w:val="20"/>
              </w:rPr>
              <w:t xml:space="preserve">– November </w:t>
            </w:r>
            <w:r w:rsidRPr="00F51049">
              <w:rPr>
                <w:sz w:val="20"/>
                <w:szCs w:val="20"/>
              </w:rPr>
              <w:t>201</w:t>
            </w:r>
            <w:r w:rsidR="00970AA5" w:rsidRPr="00F51049">
              <w:rPr>
                <w:sz w:val="20"/>
                <w:szCs w:val="20"/>
              </w:rPr>
              <w:t>6</w:t>
            </w:r>
          </w:p>
        </w:tc>
        <w:tc>
          <w:tcPr>
            <w:tcW w:w="6724" w:type="dxa"/>
            <w:vAlign w:val="center"/>
          </w:tcPr>
          <w:p w:rsidR="00AB3CA1" w:rsidRPr="00F51049" w:rsidRDefault="00532CA2" w:rsidP="00F51049">
            <w:pPr>
              <w:spacing w:after="0" w:line="240" w:lineRule="auto"/>
              <w:rPr>
                <w:sz w:val="20"/>
                <w:szCs w:val="20"/>
              </w:rPr>
            </w:pPr>
            <w:r w:rsidRPr="00F51049">
              <w:rPr>
                <w:sz w:val="20"/>
                <w:szCs w:val="20"/>
              </w:rPr>
              <w:t>Final considerations and drafting</w:t>
            </w:r>
          </w:p>
        </w:tc>
      </w:tr>
      <w:tr w:rsidR="00970AA5" w:rsidRPr="006A4250" w:rsidTr="00F51049">
        <w:trPr>
          <w:trHeight w:val="510"/>
        </w:trPr>
        <w:tc>
          <w:tcPr>
            <w:tcW w:w="2518" w:type="dxa"/>
            <w:vAlign w:val="center"/>
          </w:tcPr>
          <w:p w:rsidR="00970AA5" w:rsidRPr="00F51049" w:rsidRDefault="00970AA5" w:rsidP="00F51049">
            <w:pPr>
              <w:spacing w:after="0" w:line="240" w:lineRule="auto"/>
              <w:rPr>
                <w:sz w:val="20"/>
                <w:szCs w:val="20"/>
              </w:rPr>
            </w:pPr>
            <w:r w:rsidRPr="00F51049">
              <w:rPr>
                <w:sz w:val="20"/>
                <w:szCs w:val="20"/>
              </w:rPr>
              <w:t>November 2016</w:t>
            </w:r>
          </w:p>
        </w:tc>
        <w:tc>
          <w:tcPr>
            <w:tcW w:w="6724" w:type="dxa"/>
            <w:vAlign w:val="center"/>
          </w:tcPr>
          <w:p w:rsidR="00970AA5" w:rsidRPr="00F51049" w:rsidRDefault="00970AA5" w:rsidP="00F51049">
            <w:pPr>
              <w:spacing w:after="0" w:line="240" w:lineRule="auto"/>
              <w:rPr>
                <w:sz w:val="20"/>
                <w:szCs w:val="20"/>
              </w:rPr>
            </w:pPr>
            <w:r w:rsidRPr="00F51049">
              <w:rPr>
                <w:sz w:val="20"/>
                <w:szCs w:val="20"/>
              </w:rPr>
              <w:t>Board report</w:t>
            </w:r>
          </w:p>
        </w:tc>
      </w:tr>
      <w:tr w:rsidR="00532CA2" w:rsidRPr="006A4250" w:rsidTr="00F51049">
        <w:trPr>
          <w:trHeight w:val="510"/>
        </w:trPr>
        <w:tc>
          <w:tcPr>
            <w:tcW w:w="2518" w:type="dxa"/>
            <w:vAlign w:val="center"/>
          </w:tcPr>
          <w:p w:rsidR="00532CA2" w:rsidRPr="00F51049" w:rsidRDefault="00532CA2" w:rsidP="00F51049">
            <w:pPr>
              <w:spacing w:after="0" w:line="240" w:lineRule="auto"/>
              <w:rPr>
                <w:sz w:val="20"/>
                <w:szCs w:val="20"/>
              </w:rPr>
            </w:pPr>
            <w:r w:rsidRPr="00F51049">
              <w:rPr>
                <w:sz w:val="20"/>
                <w:szCs w:val="20"/>
              </w:rPr>
              <w:t xml:space="preserve">November – December </w:t>
            </w:r>
          </w:p>
        </w:tc>
        <w:tc>
          <w:tcPr>
            <w:tcW w:w="6724" w:type="dxa"/>
            <w:vAlign w:val="center"/>
          </w:tcPr>
          <w:p w:rsidR="00532CA2" w:rsidRPr="00F51049" w:rsidRDefault="00532CA2" w:rsidP="00F51049">
            <w:pPr>
              <w:spacing w:after="0" w:line="240" w:lineRule="auto"/>
              <w:rPr>
                <w:sz w:val="20"/>
                <w:szCs w:val="20"/>
              </w:rPr>
            </w:pPr>
            <w:r w:rsidRPr="00F51049">
              <w:rPr>
                <w:sz w:val="20"/>
                <w:szCs w:val="20"/>
              </w:rPr>
              <w:t>Publication of findings</w:t>
            </w:r>
          </w:p>
        </w:tc>
      </w:tr>
    </w:tbl>
    <w:p w:rsidR="00A032F5" w:rsidRDefault="00A032F5" w:rsidP="00D90296">
      <w:pPr>
        <w:spacing w:after="0" w:line="240" w:lineRule="auto"/>
        <w:jc w:val="both"/>
      </w:pPr>
    </w:p>
    <w:p w:rsidR="00F51049" w:rsidRPr="006A4250" w:rsidRDefault="00F51049" w:rsidP="00D90296">
      <w:pPr>
        <w:spacing w:after="0" w:line="240" w:lineRule="auto"/>
        <w:jc w:val="both"/>
      </w:pPr>
    </w:p>
    <w:p w:rsidR="00AB3CA1" w:rsidRDefault="00970AA5" w:rsidP="00F51049">
      <w:pPr>
        <w:pStyle w:val="Heading2"/>
        <w:numPr>
          <w:ilvl w:val="0"/>
          <w:numId w:val="4"/>
        </w:numPr>
        <w:spacing w:before="0" w:line="240" w:lineRule="auto"/>
        <w:jc w:val="both"/>
        <w:rPr>
          <w:rFonts w:asciiTheme="minorHAnsi" w:hAnsiTheme="minorHAnsi"/>
          <w:sz w:val="22"/>
          <w:szCs w:val="22"/>
        </w:rPr>
      </w:pPr>
      <w:r w:rsidRPr="00970AA5">
        <w:rPr>
          <w:rFonts w:asciiTheme="minorHAnsi" w:hAnsiTheme="minorHAnsi"/>
          <w:sz w:val="22"/>
          <w:szCs w:val="22"/>
        </w:rPr>
        <w:t xml:space="preserve">Future phases </w:t>
      </w:r>
    </w:p>
    <w:p w:rsidR="00F51049" w:rsidRPr="00F51049" w:rsidRDefault="00F51049" w:rsidP="00F51049">
      <w:pPr>
        <w:spacing w:after="0" w:line="240" w:lineRule="auto"/>
      </w:pPr>
    </w:p>
    <w:tbl>
      <w:tblPr>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tblPr>
      <w:tblGrid>
        <w:gridCol w:w="2518"/>
        <w:gridCol w:w="6724"/>
      </w:tblGrid>
      <w:tr w:rsidR="0052498B" w:rsidRPr="00F51049" w:rsidTr="00F51049">
        <w:trPr>
          <w:trHeight w:val="397"/>
        </w:trPr>
        <w:tc>
          <w:tcPr>
            <w:tcW w:w="2518" w:type="dxa"/>
            <w:shd w:val="clear" w:color="auto" w:fill="17365D" w:themeFill="text2" w:themeFillShade="BF"/>
            <w:vAlign w:val="center"/>
          </w:tcPr>
          <w:p w:rsidR="0052498B" w:rsidRPr="00F51049" w:rsidRDefault="0052498B" w:rsidP="00D90296">
            <w:pPr>
              <w:spacing w:after="0" w:line="240" w:lineRule="auto"/>
              <w:jc w:val="both"/>
              <w:rPr>
                <w:b/>
                <w:color w:val="FFFFFF" w:themeColor="background1"/>
              </w:rPr>
            </w:pPr>
            <w:r w:rsidRPr="00F51049">
              <w:rPr>
                <w:b/>
                <w:color w:val="FFFFFF" w:themeColor="background1"/>
              </w:rPr>
              <w:t>Phases</w:t>
            </w:r>
          </w:p>
        </w:tc>
        <w:tc>
          <w:tcPr>
            <w:tcW w:w="6724" w:type="dxa"/>
            <w:shd w:val="clear" w:color="auto" w:fill="17365D" w:themeFill="text2" w:themeFillShade="BF"/>
            <w:vAlign w:val="center"/>
          </w:tcPr>
          <w:p w:rsidR="0052498B" w:rsidRPr="00F51049" w:rsidRDefault="0052498B" w:rsidP="00D90296">
            <w:pPr>
              <w:spacing w:after="0" w:line="240" w:lineRule="auto"/>
              <w:jc w:val="both"/>
              <w:rPr>
                <w:b/>
                <w:color w:val="FFFFFF" w:themeColor="background1"/>
              </w:rPr>
            </w:pPr>
            <w:r w:rsidRPr="00F51049">
              <w:rPr>
                <w:b/>
                <w:color w:val="FFFFFF" w:themeColor="background1"/>
              </w:rPr>
              <w:t>Details</w:t>
            </w:r>
          </w:p>
        </w:tc>
      </w:tr>
      <w:tr w:rsidR="0052498B" w:rsidRPr="006A4250" w:rsidTr="00F51049">
        <w:trPr>
          <w:trHeight w:val="1020"/>
        </w:trPr>
        <w:tc>
          <w:tcPr>
            <w:tcW w:w="2518" w:type="dxa"/>
            <w:vAlign w:val="center"/>
          </w:tcPr>
          <w:p w:rsidR="0052498B" w:rsidRPr="00F51049" w:rsidRDefault="002B5C91" w:rsidP="00F51049">
            <w:pPr>
              <w:spacing w:after="0" w:line="240" w:lineRule="auto"/>
              <w:rPr>
                <w:sz w:val="20"/>
                <w:szCs w:val="20"/>
              </w:rPr>
            </w:pPr>
            <w:r w:rsidRPr="00F51049">
              <w:rPr>
                <w:sz w:val="20"/>
                <w:szCs w:val="20"/>
              </w:rPr>
              <w:t xml:space="preserve">Money Management &amp; </w:t>
            </w:r>
            <w:r w:rsidR="00FB10CB" w:rsidRPr="00F51049">
              <w:rPr>
                <w:sz w:val="20"/>
                <w:szCs w:val="20"/>
              </w:rPr>
              <w:t>F</w:t>
            </w:r>
            <w:r w:rsidRPr="00F51049">
              <w:rPr>
                <w:sz w:val="20"/>
                <w:szCs w:val="20"/>
              </w:rPr>
              <w:t xml:space="preserve">inancial </w:t>
            </w:r>
            <w:r w:rsidR="00FB10CB" w:rsidRPr="00F51049">
              <w:rPr>
                <w:sz w:val="20"/>
                <w:szCs w:val="20"/>
              </w:rPr>
              <w:t>D</w:t>
            </w:r>
            <w:r w:rsidRPr="00F51049">
              <w:rPr>
                <w:sz w:val="20"/>
                <w:szCs w:val="20"/>
              </w:rPr>
              <w:t>ifficulty</w:t>
            </w:r>
          </w:p>
        </w:tc>
        <w:tc>
          <w:tcPr>
            <w:tcW w:w="6724" w:type="dxa"/>
            <w:vAlign w:val="center"/>
          </w:tcPr>
          <w:p w:rsidR="0052498B" w:rsidRPr="00F51049" w:rsidRDefault="002B5C91" w:rsidP="00D90296">
            <w:pPr>
              <w:spacing w:after="0" w:line="240" w:lineRule="auto"/>
              <w:jc w:val="both"/>
              <w:rPr>
                <w:sz w:val="20"/>
                <w:szCs w:val="20"/>
              </w:rPr>
            </w:pPr>
            <w:r w:rsidRPr="00F51049">
              <w:rPr>
                <w:sz w:val="20"/>
                <w:szCs w:val="20"/>
              </w:rPr>
              <w:t xml:space="preserve">Money management and financial difficulty customer journeys will </w:t>
            </w:r>
            <w:r w:rsidR="00D458AA" w:rsidRPr="00F51049">
              <w:rPr>
                <w:sz w:val="20"/>
                <w:szCs w:val="20"/>
              </w:rPr>
              <w:t xml:space="preserve">need </w:t>
            </w:r>
            <w:r w:rsidR="00A032F5" w:rsidRPr="00F51049">
              <w:rPr>
                <w:sz w:val="20"/>
                <w:szCs w:val="20"/>
              </w:rPr>
              <w:t>to be evaluated</w:t>
            </w:r>
            <w:r w:rsidR="00D11637" w:rsidRPr="00F51049">
              <w:rPr>
                <w:sz w:val="20"/>
                <w:szCs w:val="20"/>
              </w:rPr>
              <w:t>. Once completed the most appropriate f</w:t>
            </w:r>
            <w:r w:rsidR="00F85F4B" w:rsidRPr="00F51049">
              <w:rPr>
                <w:sz w:val="20"/>
                <w:szCs w:val="20"/>
              </w:rPr>
              <w:t xml:space="preserve">irms </w:t>
            </w:r>
            <w:r w:rsidR="00D11637" w:rsidRPr="00F51049">
              <w:rPr>
                <w:sz w:val="20"/>
                <w:szCs w:val="20"/>
              </w:rPr>
              <w:t>will be approached and invited to participate</w:t>
            </w:r>
          </w:p>
        </w:tc>
      </w:tr>
      <w:tr w:rsidR="0052498B" w:rsidRPr="006A4250" w:rsidTr="00F51049">
        <w:trPr>
          <w:trHeight w:val="1020"/>
        </w:trPr>
        <w:tc>
          <w:tcPr>
            <w:tcW w:w="2518" w:type="dxa"/>
            <w:vAlign w:val="center"/>
          </w:tcPr>
          <w:p w:rsidR="0052498B" w:rsidRPr="00F51049" w:rsidRDefault="00FB10CB" w:rsidP="00F51049">
            <w:pPr>
              <w:spacing w:after="0" w:line="240" w:lineRule="auto"/>
              <w:rPr>
                <w:sz w:val="20"/>
                <w:szCs w:val="20"/>
              </w:rPr>
            </w:pPr>
            <w:r w:rsidRPr="00F51049">
              <w:rPr>
                <w:sz w:val="20"/>
                <w:szCs w:val="20"/>
              </w:rPr>
              <w:t>Consumer V</w:t>
            </w:r>
            <w:r w:rsidR="002B5C91" w:rsidRPr="00F51049">
              <w:rPr>
                <w:sz w:val="20"/>
                <w:szCs w:val="20"/>
              </w:rPr>
              <w:t>ulnerability</w:t>
            </w:r>
          </w:p>
        </w:tc>
        <w:tc>
          <w:tcPr>
            <w:tcW w:w="6724" w:type="dxa"/>
            <w:vAlign w:val="center"/>
          </w:tcPr>
          <w:p w:rsidR="0052498B" w:rsidRPr="00F51049" w:rsidRDefault="00D458AA" w:rsidP="00D90296">
            <w:pPr>
              <w:spacing w:after="0" w:line="240" w:lineRule="auto"/>
              <w:jc w:val="both"/>
              <w:rPr>
                <w:sz w:val="20"/>
                <w:szCs w:val="20"/>
              </w:rPr>
            </w:pPr>
            <w:r w:rsidRPr="00F51049">
              <w:rPr>
                <w:sz w:val="20"/>
                <w:szCs w:val="20"/>
              </w:rPr>
              <w:t xml:space="preserve">It is expected that the new Standards will have been fully embedded </w:t>
            </w:r>
            <w:r w:rsidR="00FB10CB" w:rsidRPr="00F51049">
              <w:rPr>
                <w:sz w:val="20"/>
                <w:szCs w:val="20"/>
              </w:rPr>
              <w:t xml:space="preserve">at this stage </w:t>
            </w:r>
            <w:r w:rsidRPr="00F51049">
              <w:rPr>
                <w:sz w:val="20"/>
                <w:szCs w:val="20"/>
              </w:rPr>
              <w:t xml:space="preserve">and therefore fully integrated within the </w:t>
            </w:r>
            <w:r w:rsidR="00A032F5" w:rsidRPr="00F51049">
              <w:rPr>
                <w:sz w:val="20"/>
                <w:szCs w:val="20"/>
              </w:rPr>
              <w:t>f</w:t>
            </w:r>
            <w:r w:rsidR="004F629A" w:rsidRPr="00F51049">
              <w:rPr>
                <w:sz w:val="20"/>
                <w:szCs w:val="20"/>
              </w:rPr>
              <w:t>irm</w:t>
            </w:r>
            <w:r w:rsidR="00A032F5" w:rsidRPr="00F51049">
              <w:rPr>
                <w:sz w:val="20"/>
                <w:szCs w:val="20"/>
              </w:rPr>
              <w:t>’</w:t>
            </w:r>
            <w:r w:rsidR="004F629A" w:rsidRPr="00F51049">
              <w:rPr>
                <w:sz w:val="20"/>
                <w:szCs w:val="20"/>
              </w:rPr>
              <w:t xml:space="preserve">s </w:t>
            </w:r>
            <w:r w:rsidRPr="00F51049">
              <w:rPr>
                <w:sz w:val="20"/>
                <w:szCs w:val="20"/>
              </w:rPr>
              <w:t>digital offerings</w:t>
            </w:r>
          </w:p>
        </w:tc>
      </w:tr>
      <w:tr w:rsidR="0052498B" w:rsidRPr="006A4250" w:rsidTr="00F51049">
        <w:trPr>
          <w:trHeight w:val="1020"/>
        </w:trPr>
        <w:tc>
          <w:tcPr>
            <w:tcW w:w="2518" w:type="dxa"/>
            <w:vAlign w:val="center"/>
          </w:tcPr>
          <w:p w:rsidR="0052498B" w:rsidRPr="00F51049" w:rsidRDefault="002B5C91" w:rsidP="00F51049">
            <w:pPr>
              <w:spacing w:after="0" w:line="240" w:lineRule="auto"/>
              <w:rPr>
                <w:sz w:val="20"/>
                <w:szCs w:val="20"/>
              </w:rPr>
            </w:pPr>
            <w:r w:rsidRPr="00F51049">
              <w:rPr>
                <w:sz w:val="20"/>
                <w:szCs w:val="20"/>
              </w:rPr>
              <w:t xml:space="preserve">SME </w:t>
            </w:r>
          </w:p>
        </w:tc>
        <w:tc>
          <w:tcPr>
            <w:tcW w:w="6724" w:type="dxa"/>
            <w:vAlign w:val="center"/>
          </w:tcPr>
          <w:p w:rsidR="0052498B" w:rsidRPr="00F51049" w:rsidRDefault="00D458AA" w:rsidP="00D90296">
            <w:pPr>
              <w:spacing w:after="0" w:line="240" w:lineRule="auto"/>
              <w:jc w:val="both"/>
              <w:rPr>
                <w:sz w:val="20"/>
                <w:szCs w:val="20"/>
              </w:rPr>
            </w:pPr>
            <w:r w:rsidRPr="00F51049">
              <w:rPr>
                <w:sz w:val="20"/>
                <w:szCs w:val="20"/>
              </w:rPr>
              <w:t xml:space="preserve">The SME Standards will </w:t>
            </w:r>
            <w:r w:rsidR="00F85F4B" w:rsidRPr="00F51049">
              <w:rPr>
                <w:sz w:val="20"/>
                <w:szCs w:val="20"/>
              </w:rPr>
              <w:t>have been launched by this time and</w:t>
            </w:r>
            <w:r w:rsidRPr="00F51049">
              <w:rPr>
                <w:sz w:val="20"/>
                <w:szCs w:val="20"/>
              </w:rPr>
              <w:t xml:space="preserve"> a similar approach to the Personal Standards will be adopted.  The first areas to be reviewed will be those where risk is deemed to be greatest, taking into account </w:t>
            </w:r>
            <w:r w:rsidR="00FB10CB" w:rsidRPr="00F51049">
              <w:rPr>
                <w:sz w:val="20"/>
                <w:szCs w:val="20"/>
              </w:rPr>
              <w:t>the need for any new Standards to be incorporated within existing operations</w:t>
            </w:r>
          </w:p>
        </w:tc>
      </w:tr>
    </w:tbl>
    <w:p w:rsidR="0052498B" w:rsidRPr="0052498B" w:rsidRDefault="0052498B" w:rsidP="00D90296">
      <w:pPr>
        <w:spacing w:after="0" w:line="240" w:lineRule="auto"/>
        <w:jc w:val="both"/>
      </w:pPr>
    </w:p>
    <w:sectPr w:rsidR="0052498B" w:rsidRPr="0052498B" w:rsidSect="009C4DD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212" w:rsidRDefault="007F4212" w:rsidP="000B3CEC">
      <w:pPr>
        <w:spacing w:after="0" w:line="240" w:lineRule="auto"/>
      </w:pPr>
      <w:r>
        <w:separator/>
      </w:r>
    </w:p>
  </w:endnote>
  <w:endnote w:type="continuationSeparator" w:id="0">
    <w:p w:rsidR="007F4212" w:rsidRDefault="007F4212" w:rsidP="000B3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350673"/>
      <w:docPartObj>
        <w:docPartGallery w:val="Page Numbers (Bottom of Page)"/>
        <w:docPartUnique/>
      </w:docPartObj>
    </w:sdtPr>
    <w:sdtContent>
      <w:p w:rsidR="00A032F5" w:rsidRDefault="00520FE7">
        <w:pPr>
          <w:pStyle w:val="Footer"/>
          <w:jc w:val="center"/>
        </w:pPr>
        <w:r w:rsidRPr="00A135D8">
          <w:rPr>
            <w:sz w:val="16"/>
            <w:szCs w:val="16"/>
          </w:rPr>
          <w:fldChar w:fldCharType="begin"/>
        </w:r>
        <w:r w:rsidR="00861F96" w:rsidRPr="00A135D8">
          <w:rPr>
            <w:sz w:val="16"/>
            <w:szCs w:val="16"/>
          </w:rPr>
          <w:instrText xml:space="preserve"> PAGE   \* MERGEFORMAT </w:instrText>
        </w:r>
        <w:r w:rsidRPr="00A135D8">
          <w:rPr>
            <w:sz w:val="16"/>
            <w:szCs w:val="16"/>
          </w:rPr>
          <w:fldChar w:fldCharType="separate"/>
        </w:r>
        <w:r w:rsidR="00A57FA7">
          <w:rPr>
            <w:noProof/>
            <w:sz w:val="16"/>
            <w:szCs w:val="16"/>
          </w:rPr>
          <w:t>3</w:t>
        </w:r>
        <w:r w:rsidRPr="00A135D8">
          <w:rPr>
            <w:sz w:val="16"/>
            <w:szCs w:val="16"/>
          </w:rPr>
          <w:fldChar w:fldCharType="end"/>
        </w:r>
      </w:p>
    </w:sdtContent>
  </w:sdt>
  <w:p w:rsidR="00A032F5" w:rsidRDefault="00A03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212" w:rsidRDefault="007F4212" w:rsidP="000B3CEC">
      <w:pPr>
        <w:spacing w:after="0" w:line="240" w:lineRule="auto"/>
      </w:pPr>
      <w:r>
        <w:separator/>
      </w:r>
    </w:p>
  </w:footnote>
  <w:footnote w:type="continuationSeparator" w:id="0">
    <w:p w:rsidR="007F4212" w:rsidRDefault="007F4212" w:rsidP="000B3CEC">
      <w:pPr>
        <w:spacing w:after="0" w:line="240" w:lineRule="auto"/>
      </w:pPr>
      <w:r>
        <w:continuationSeparator/>
      </w:r>
    </w:p>
  </w:footnote>
  <w:footnote w:id="1">
    <w:p w:rsidR="00A032F5" w:rsidRPr="00D13DDA" w:rsidRDefault="00A032F5" w:rsidP="009266CB">
      <w:pPr>
        <w:pStyle w:val="FootnoteText"/>
        <w:jc w:val="both"/>
      </w:pPr>
      <w:r>
        <w:rPr>
          <w:rStyle w:val="FootnoteReference"/>
        </w:rPr>
        <w:footnoteRef/>
      </w:r>
      <w:r w:rsidRPr="00D13DDA">
        <w:t> </w:t>
      </w:r>
      <w:hyperlink r:id="rId1" w:tgtFrame="_blank" w:history="1">
        <w:r w:rsidRPr="00D13DDA">
          <w:rPr>
            <w:rStyle w:val="Hyperlink"/>
          </w:rPr>
          <w:t>Regulatory Technology</w:t>
        </w:r>
      </w:hyperlink>
      <w:r w:rsidRPr="00D13DDA">
        <w:t> </w:t>
      </w:r>
      <w:r>
        <w:t>(</w:t>
      </w:r>
      <w:proofErr w:type="spellStart"/>
      <w:r>
        <w:t>Regt</w:t>
      </w:r>
      <w:r w:rsidRPr="00D13DDA">
        <w:t>ech</w:t>
      </w:r>
      <w:proofErr w:type="spellEnd"/>
      <w:r w:rsidRPr="00D13DDA">
        <w:t>) is the use of new technology to facilitate the delivery of regulatory requirements.</w:t>
      </w:r>
    </w:p>
  </w:footnote>
  <w:footnote w:id="2">
    <w:p w:rsidR="00A032F5" w:rsidRPr="00CE1D6F" w:rsidRDefault="00A032F5" w:rsidP="009266CB">
      <w:pPr>
        <w:pStyle w:val="FootnoteText"/>
        <w:jc w:val="both"/>
        <w:rPr>
          <w:lang w:val="en-IE"/>
        </w:rPr>
      </w:pPr>
      <w:r>
        <w:rPr>
          <w:rStyle w:val="FootnoteReference"/>
        </w:rPr>
        <w:footnoteRef/>
      </w:r>
      <w:r>
        <w:t xml:space="preserve"> </w:t>
      </w:r>
      <w:hyperlink r:id="rId2" w:history="1">
        <w:r w:rsidRPr="00B66EEC">
          <w:rPr>
            <w:rStyle w:val="Hyperlink"/>
          </w:rPr>
          <w:t>https://www.accenture.com/t20160218T103231__w__/us-en/_acnmedia/PDF-5/Accenture-Banking-Lloyds-Bank-UK-Consumer-Digital-Index-2016.pdf</w:t>
        </w:r>
      </w:hyperlink>
      <w:r>
        <w:t xml:space="preserve"> </w:t>
      </w:r>
    </w:p>
  </w:footnote>
  <w:footnote w:id="3">
    <w:p w:rsidR="00A032F5" w:rsidRPr="009266CB" w:rsidRDefault="00A032F5" w:rsidP="009266CB">
      <w:pPr>
        <w:pStyle w:val="FootnoteText"/>
        <w:jc w:val="both"/>
        <w:rPr>
          <w:lang w:val="en-IE"/>
        </w:rPr>
      </w:pPr>
      <w:r>
        <w:rPr>
          <w:rStyle w:val="FootnoteReference"/>
        </w:rPr>
        <w:footnoteRef/>
      </w:r>
      <w:r>
        <w:t xml:space="preserve"> </w:t>
      </w:r>
      <w:r w:rsidRPr="009266CB">
        <w:t>Financial technology (</w:t>
      </w:r>
      <w:proofErr w:type="spellStart"/>
      <w:r w:rsidRPr="009266CB">
        <w:t>Fintech</w:t>
      </w:r>
      <w:proofErr w:type="spellEnd"/>
      <w:r w:rsidRPr="009266CB">
        <w:t>) is an economic industry composed of companies that use technology to make </w:t>
      </w:r>
      <w:hyperlink r:id="rId3" w:tooltip="Financial services" w:history="1">
        <w:r w:rsidRPr="009266CB">
          <w:t>financial services</w:t>
        </w:r>
      </w:hyperlink>
      <w:r w:rsidRPr="009266CB">
        <w:t> more efficient.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855D9"/>
    <w:multiLevelType w:val="hybridMultilevel"/>
    <w:tmpl w:val="41EEC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7B928F3"/>
    <w:multiLevelType w:val="hybridMultilevel"/>
    <w:tmpl w:val="F1642B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9BF1BF6"/>
    <w:multiLevelType w:val="hybridMultilevel"/>
    <w:tmpl w:val="FF3E7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9804DE"/>
    <w:multiLevelType w:val="hybridMultilevel"/>
    <w:tmpl w:val="51A6E2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3C71"/>
    <w:rsid w:val="00000EE0"/>
    <w:rsid w:val="00001374"/>
    <w:rsid w:val="00012604"/>
    <w:rsid w:val="00012FF7"/>
    <w:rsid w:val="00015C7B"/>
    <w:rsid w:val="00016005"/>
    <w:rsid w:val="00016699"/>
    <w:rsid w:val="00017214"/>
    <w:rsid w:val="00020008"/>
    <w:rsid w:val="00022BA7"/>
    <w:rsid w:val="00024782"/>
    <w:rsid w:val="00030957"/>
    <w:rsid w:val="00032536"/>
    <w:rsid w:val="00042861"/>
    <w:rsid w:val="00042AB6"/>
    <w:rsid w:val="00043DDE"/>
    <w:rsid w:val="00044ADD"/>
    <w:rsid w:val="000462D5"/>
    <w:rsid w:val="00051C46"/>
    <w:rsid w:val="00055260"/>
    <w:rsid w:val="00063921"/>
    <w:rsid w:val="00064123"/>
    <w:rsid w:val="00074ECD"/>
    <w:rsid w:val="00075520"/>
    <w:rsid w:val="00075D67"/>
    <w:rsid w:val="000854B0"/>
    <w:rsid w:val="000907C9"/>
    <w:rsid w:val="00095509"/>
    <w:rsid w:val="000955E3"/>
    <w:rsid w:val="000A1FA6"/>
    <w:rsid w:val="000A2B1E"/>
    <w:rsid w:val="000A60DF"/>
    <w:rsid w:val="000B3CEC"/>
    <w:rsid w:val="000B6E36"/>
    <w:rsid w:val="000B70A1"/>
    <w:rsid w:val="000C17E4"/>
    <w:rsid w:val="000C19B2"/>
    <w:rsid w:val="000C4427"/>
    <w:rsid w:val="000C5F49"/>
    <w:rsid w:val="000C64C9"/>
    <w:rsid w:val="000D1D8D"/>
    <w:rsid w:val="000D3ADC"/>
    <w:rsid w:val="000D55AE"/>
    <w:rsid w:val="000E09FB"/>
    <w:rsid w:val="000E611E"/>
    <w:rsid w:val="000F0FE7"/>
    <w:rsid w:val="000F122B"/>
    <w:rsid w:val="000F254C"/>
    <w:rsid w:val="000F62F8"/>
    <w:rsid w:val="00100438"/>
    <w:rsid w:val="001051A9"/>
    <w:rsid w:val="0010549D"/>
    <w:rsid w:val="00113F00"/>
    <w:rsid w:val="00115093"/>
    <w:rsid w:val="001203E8"/>
    <w:rsid w:val="0012509C"/>
    <w:rsid w:val="00127C7F"/>
    <w:rsid w:val="00131761"/>
    <w:rsid w:val="00131826"/>
    <w:rsid w:val="0013190B"/>
    <w:rsid w:val="001367EE"/>
    <w:rsid w:val="0014103E"/>
    <w:rsid w:val="001414CF"/>
    <w:rsid w:val="001457A9"/>
    <w:rsid w:val="00161DC5"/>
    <w:rsid w:val="00167ED8"/>
    <w:rsid w:val="0017461E"/>
    <w:rsid w:val="00174B5A"/>
    <w:rsid w:val="00181655"/>
    <w:rsid w:val="001830AC"/>
    <w:rsid w:val="00186583"/>
    <w:rsid w:val="00190271"/>
    <w:rsid w:val="00194FC4"/>
    <w:rsid w:val="00195665"/>
    <w:rsid w:val="0019794C"/>
    <w:rsid w:val="00197CD9"/>
    <w:rsid w:val="001B14B3"/>
    <w:rsid w:val="001B1883"/>
    <w:rsid w:val="001B1D98"/>
    <w:rsid w:val="001B20D7"/>
    <w:rsid w:val="001B2737"/>
    <w:rsid w:val="001B5727"/>
    <w:rsid w:val="001B5F21"/>
    <w:rsid w:val="001C2255"/>
    <w:rsid w:val="001C46BE"/>
    <w:rsid w:val="001C50CE"/>
    <w:rsid w:val="001C7858"/>
    <w:rsid w:val="001D0783"/>
    <w:rsid w:val="001D091E"/>
    <w:rsid w:val="001D3DE2"/>
    <w:rsid w:val="001D667B"/>
    <w:rsid w:val="001D6CB8"/>
    <w:rsid w:val="001E61FD"/>
    <w:rsid w:val="001F267B"/>
    <w:rsid w:val="001F60E4"/>
    <w:rsid w:val="00200E39"/>
    <w:rsid w:val="00202EFB"/>
    <w:rsid w:val="00204718"/>
    <w:rsid w:val="00205DCA"/>
    <w:rsid w:val="00207C8D"/>
    <w:rsid w:val="0021193F"/>
    <w:rsid w:val="00211C89"/>
    <w:rsid w:val="00212104"/>
    <w:rsid w:val="00214539"/>
    <w:rsid w:val="002218FF"/>
    <w:rsid w:val="00225589"/>
    <w:rsid w:val="002259D9"/>
    <w:rsid w:val="002269CD"/>
    <w:rsid w:val="002303A3"/>
    <w:rsid w:val="002403CB"/>
    <w:rsid w:val="00240F96"/>
    <w:rsid w:val="00244592"/>
    <w:rsid w:val="00244A5D"/>
    <w:rsid w:val="00245CBB"/>
    <w:rsid w:val="00245D16"/>
    <w:rsid w:val="00247A6C"/>
    <w:rsid w:val="00251253"/>
    <w:rsid w:val="002532F2"/>
    <w:rsid w:val="00253834"/>
    <w:rsid w:val="002544E1"/>
    <w:rsid w:val="002554C1"/>
    <w:rsid w:val="00255CC6"/>
    <w:rsid w:val="00260AE5"/>
    <w:rsid w:val="00261235"/>
    <w:rsid w:val="0026281C"/>
    <w:rsid w:val="0026456E"/>
    <w:rsid w:val="00264674"/>
    <w:rsid w:val="0026577D"/>
    <w:rsid w:val="00272D96"/>
    <w:rsid w:val="00274381"/>
    <w:rsid w:val="00276EEA"/>
    <w:rsid w:val="0028578A"/>
    <w:rsid w:val="002917A5"/>
    <w:rsid w:val="0029399B"/>
    <w:rsid w:val="00293EBD"/>
    <w:rsid w:val="00297DF0"/>
    <w:rsid w:val="00297ED7"/>
    <w:rsid w:val="002A02D3"/>
    <w:rsid w:val="002A0C03"/>
    <w:rsid w:val="002A1503"/>
    <w:rsid w:val="002A2A53"/>
    <w:rsid w:val="002A6230"/>
    <w:rsid w:val="002B0A4F"/>
    <w:rsid w:val="002B4C73"/>
    <w:rsid w:val="002B4CE4"/>
    <w:rsid w:val="002B5C91"/>
    <w:rsid w:val="002B7414"/>
    <w:rsid w:val="002C0A86"/>
    <w:rsid w:val="002C0C8C"/>
    <w:rsid w:val="002C2254"/>
    <w:rsid w:val="002C4AF7"/>
    <w:rsid w:val="002C5799"/>
    <w:rsid w:val="002C5C39"/>
    <w:rsid w:val="002C646C"/>
    <w:rsid w:val="002D0097"/>
    <w:rsid w:val="002D5A3F"/>
    <w:rsid w:val="002E1318"/>
    <w:rsid w:val="002E1FE9"/>
    <w:rsid w:val="002E263F"/>
    <w:rsid w:val="002E2B7F"/>
    <w:rsid w:val="002E2D1B"/>
    <w:rsid w:val="002E4CAF"/>
    <w:rsid w:val="002E691E"/>
    <w:rsid w:val="002F4FF4"/>
    <w:rsid w:val="002F5241"/>
    <w:rsid w:val="002F72A6"/>
    <w:rsid w:val="003013E8"/>
    <w:rsid w:val="003027F8"/>
    <w:rsid w:val="00302E79"/>
    <w:rsid w:val="00306C09"/>
    <w:rsid w:val="00310065"/>
    <w:rsid w:val="003115FC"/>
    <w:rsid w:val="00312796"/>
    <w:rsid w:val="003144EA"/>
    <w:rsid w:val="00316C85"/>
    <w:rsid w:val="00321D42"/>
    <w:rsid w:val="0033372A"/>
    <w:rsid w:val="00334DA7"/>
    <w:rsid w:val="00342A4F"/>
    <w:rsid w:val="003430C4"/>
    <w:rsid w:val="003462FD"/>
    <w:rsid w:val="00346CC0"/>
    <w:rsid w:val="00347238"/>
    <w:rsid w:val="00353764"/>
    <w:rsid w:val="003653DD"/>
    <w:rsid w:val="00365788"/>
    <w:rsid w:val="003667AA"/>
    <w:rsid w:val="00370FF4"/>
    <w:rsid w:val="0037468D"/>
    <w:rsid w:val="0037493F"/>
    <w:rsid w:val="00377708"/>
    <w:rsid w:val="00380A17"/>
    <w:rsid w:val="003827DF"/>
    <w:rsid w:val="0038355E"/>
    <w:rsid w:val="00384374"/>
    <w:rsid w:val="00386D79"/>
    <w:rsid w:val="00387B4C"/>
    <w:rsid w:val="0039160A"/>
    <w:rsid w:val="003A01CA"/>
    <w:rsid w:val="003A024B"/>
    <w:rsid w:val="003A0CC9"/>
    <w:rsid w:val="003A0E90"/>
    <w:rsid w:val="003A19EB"/>
    <w:rsid w:val="003A3CA8"/>
    <w:rsid w:val="003A538E"/>
    <w:rsid w:val="003B1232"/>
    <w:rsid w:val="003B246D"/>
    <w:rsid w:val="003B61B1"/>
    <w:rsid w:val="003B651E"/>
    <w:rsid w:val="003C15C0"/>
    <w:rsid w:val="003C2619"/>
    <w:rsid w:val="003C38C7"/>
    <w:rsid w:val="003C480B"/>
    <w:rsid w:val="003C7C1A"/>
    <w:rsid w:val="003E1F43"/>
    <w:rsid w:val="003E2971"/>
    <w:rsid w:val="003E42B5"/>
    <w:rsid w:val="003E7BE4"/>
    <w:rsid w:val="003F0698"/>
    <w:rsid w:val="003F22B3"/>
    <w:rsid w:val="003F5145"/>
    <w:rsid w:val="003F7CCC"/>
    <w:rsid w:val="0040077F"/>
    <w:rsid w:val="00400947"/>
    <w:rsid w:val="00400A40"/>
    <w:rsid w:val="00400BB0"/>
    <w:rsid w:val="00404FD4"/>
    <w:rsid w:val="00405FF8"/>
    <w:rsid w:val="0041267A"/>
    <w:rsid w:val="00414A6D"/>
    <w:rsid w:val="004150DC"/>
    <w:rsid w:val="00415205"/>
    <w:rsid w:val="00416D03"/>
    <w:rsid w:val="00417F2A"/>
    <w:rsid w:val="004208AC"/>
    <w:rsid w:val="004233B5"/>
    <w:rsid w:val="00424636"/>
    <w:rsid w:val="004249AE"/>
    <w:rsid w:val="00430113"/>
    <w:rsid w:val="004338AC"/>
    <w:rsid w:val="00436B75"/>
    <w:rsid w:val="0043722D"/>
    <w:rsid w:val="004473B2"/>
    <w:rsid w:val="004512AC"/>
    <w:rsid w:val="00451FF0"/>
    <w:rsid w:val="00457B74"/>
    <w:rsid w:val="0046063B"/>
    <w:rsid w:val="004641BD"/>
    <w:rsid w:val="00465C09"/>
    <w:rsid w:val="004671D2"/>
    <w:rsid w:val="0047354B"/>
    <w:rsid w:val="0047597C"/>
    <w:rsid w:val="004810B8"/>
    <w:rsid w:val="00482615"/>
    <w:rsid w:val="00484FB3"/>
    <w:rsid w:val="004854D4"/>
    <w:rsid w:val="00485B2D"/>
    <w:rsid w:val="00485C57"/>
    <w:rsid w:val="004A0DC2"/>
    <w:rsid w:val="004A422E"/>
    <w:rsid w:val="004A4EE5"/>
    <w:rsid w:val="004B2B36"/>
    <w:rsid w:val="004B2C4D"/>
    <w:rsid w:val="004B2DA8"/>
    <w:rsid w:val="004B64D7"/>
    <w:rsid w:val="004B7A28"/>
    <w:rsid w:val="004C09C7"/>
    <w:rsid w:val="004C2266"/>
    <w:rsid w:val="004D04B9"/>
    <w:rsid w:val="004D4412"/>
    <w:rsid w:val="004D4E04"/>
    <w:rsid w:val="004D7E78"/>
    <w:rsid w:val="004E202C"/>
    <w:rsid w:val="004E3829"/>
    <w:rsid w:val="004E54E6"/>
    <w:rsid w:val="004E6F5D"/>
    <w:rsid w:val="004F0D6F"/>
    <w:rsid w:val="004F17B5"/>
    <w:rsid w:val="004F1ACC"/>
    <w:rsid w:val="004F2F77"/>
    <w:rsid w:val="004F4446"/>
    <w:rsid w:val="004F4BA2"/>
    <w:rsid w:val="004F4E95"/>
    <w:rsid w:val="004F629A"/>
    <w:rsid w:val="004F7362"/>
    <w:rsid w:val="00505471"/>
    <w:rsid w:val="00506E51"/>
    <w:rsid w:val="00510071"/>
    <w:rsid w:val="00510C46"/>
    <w:rsid w:val="00510E0C"/>
    <w:rsid w:val="0051294C"/>
    <w:rsid w:val="00513E63"/>
    <w:rsid w:val="00520FE7"/>
    <w:rsid w:val="0052103B"/>
    <w:rsid w:val="005212F0"/>
    <w:rsid w:val="005229E6"/>
    <w:rsid w:val="0052498B"/>
    <w:rsid w:val="00524F8F"/>
    <w:rsid w:val="005250CF"/>
    <w:rsid w:val="0052639F"/>
    <w:rsid w:val="0052657C"/>
    <w:rsid w:val="00532CA2"/>
    <w:rsid w:val="00534004"/>
    <w:rsid w:val="0053797B"/>
    <w:rsid w:val="00540B31"/>
    <w:rsid w:val="0054236C"/>
    <w:rsid w:val="005438D9"/>
    <w:rsid w:val="00545215"/>
    <w:rsid w:val="00546246"/>
    <w:rsid w:val="005501B3"/>
    <w:rsid w:val="005510E0"/>
    <w:rsid w:val="00551475"/>
    <w:rsid w:val="00554AEB"/>
    <w:rsid w:val="005553B6"/>
    <w:rsid w:val="005571C0"/>
    <w:rsid w:val="005605A3"/>
    <w:rsid w:val="00561609"/>
    <w:rsid w:val="00562089"/>
    <w:rsid w:val="00562E05"/>
    <w:rsid w:val="00563F6D"/>
    <w:rsid w:val="0056446E"/>
    <w:rsid w:val="005652FD"/>
    <w:rsid w:val="00566643"/>
    <w:rsid w:val="00567105"/>
    <w:rsid w:val="005742B3"/>
    <w:rsid w:val="005742DF"/>
    <w:rsid w:val="00585DD5"/>
    <w:rsid w:val="005873A9"/>
    <w:rsid w:val="005914AA"/>
    <w:rsid w:val="00593DE1"/>
    <w:rsid w:val="005940D6"/>
    <w:rsid w:val="00595A2B"/>
    <w:rsid w:val="005A12DF"/>
    <w:rsid w:val="005A3999"/>
    <w:rsid w:val="005B1CEE"/>
    <w:rsid w:val="005B2277"/>
    <w:rsid w:val="005B2C05"/>
    <w:rsid w:val="005B361F"/>
    <w:rsid w:val="005B3B01"/>
    <w:rsid w:val="005B524B"/>
    <w:rsid w:val="005B53D8"/>
    <w:rsid w:val="005B6165"/>
    <w:rsid w:val="005C0D99"/>
    <w:rsid w:val="005C3F81"/>
    <w:rsid w:val="005D09F2"/>
    <w:rsid w:val="005D1B06"/>
    <w:rsid w:val="005D1F03"/>
    <w:rsid w:val="005D42C5"/>
    <w:rsid w:val="005D5C3A"/>
    <w:rsid w:val="005E100C"/>
    <w:rsid w:val="005E376A"/>
    <w:rsid w:val="005F2E0D"/>
    <w:rsid w:val="005F32C8"/>
    <w:rsid w:val="005F5DBA"/>
    <w:rsid w:val="0060484B"/>
    <w:rsid w:val="006141F4"/>
    <w:rsid w:val="00622C8E"/>
    <w:rsid w:val="00627EDD"/>
    <w:rsid w:val="00630821"/>
    <w:rsid w:val="006338B8"/>
    <w:rsid w:val="006424BD"/>
    <w:rsid w:val="00642DA9"/>
    <w:rsid w:val="00646059"/>
    <w:rsid w:val="0064770D"/>
    <w:rsid w:val="00650232"/>
    <w:rsid w:val="006524E4"/>
    <w:rsid w:val="00654106"/>
    <w:rsid w:val="00655116"/>
    <w:rsid w:val="00655A57"/>
    <w:rsid w:val="006563FB"/>
    <w:rsid w:val="0065718D"/>
    <w:rsid w:val="00657D34"/>
    <w:rsid w:val="00660C72"/>
    <w:rsid w:val="00661C63"/>
    <w:rsid w:val="0066607E"/>
    <w:rsid w:val="00666877"/>
    <w:rsid w:val="006711EE"/>
    <w:rsid w:val="0067231B"/>
    <w:rsid w:val="00673F25"/>
    <w:rsid w:val="006758DF"/>
    <w:rsid w:val="0068177B"/>
    <w:rsid w:val="006831D5"/>
    <w:rsid w:val="0068334C"/>
    <w:rsid w:val="0068418D"/>
    <w:rsid w:val="00685925"/>
    <w:rsid w:val="006920B2"/>
    <w:rsid w:val="0069646F"/>
    <w:rsid w:val="006A1132"/>
    <w:rsid w:val="006A4250"/>
    <w:rsid w:val="006A5401"/>
    <w:rsid w:val="006A5665"/>
    <w:rsid w:val="006A76E2"/>
    <w:rsid w:val="006B4B71"/>
    <w:rsid w:val="006B4E1D"/>
    <w:rsid w:val="006C29E7"/>
    <w:rsid w:val="006C318F"/>
    <w:rsid w:val="006C3B36"/>
    <w:rsid w:val="006C520B"/>
    <w:rsid w:val="006C7EF1"/>
    <w:rsid w:val="006D2860"/>
    <w:rsid w:val="006D55C4"/>
    <w:rsid w:val="006D5BB3"/>
    <w:rsid w:val="006D673F"/>
    <w:rsid w:val="006D6CFD"/>
    <w:rsid w:val="006D6DC7"/>
    <w:rsid w:val="006E2525"/>
    <w:rsid w:val="006E334B"/>
    <w:rsid w:val="006E6477"/>
    <w:rsid w:val="006E7700"/>
    <w:rsid w:val="006F09EC"/>
    <w:rsid w:val="006F2B2F"/>
    <w:rsid w:val="006F5D59"/>
    <w:rsid w:val="006F6DA9"/>
    <w:rsid w:val="0070179A"/>
    <w:rsid w:val="00702CED"/>
    <w:rsid w:val="00705F68"/>
    <w:rsid w:val="0071160C"/>
    <w:rsid w:val="00711B8F"/>
    <w:rsid w:val="00713B74"/>
    <w:rsid w:val="007167E2"/>
    <w:rsid w:val="00717F63"/>
    <w:rsid w:val="00720B81"/>
    <w:rsid w:val="00721A58"/>
    <w:rsid w:val="007234C1"/>
    <w:rsid w:val="00726C9D"/>
    <w:rsid w:val="00727304"/>
    <w:rsid w:val="00727E9E"/>
    <w:rsid w:val="00732777"/>
    <w:rsid w:val="00734054"/>
    <w:rsid w:val="0073472A"/>
    <w:rsid w:val="00741C62"/>
    <w:rsid w:val="00742E22"/>
    <w:rsid w:val="007460DC"/>
    <w:rsid w:val="007514DE"/>
    <w:rsid w:val="00752BC2"/>
    <w:rsid w:val="00753662"/>
    <w:rsid w:val="007560D9"/>
    <w:rsid w:val="00763033"/>
    <w:rsid w:val="00764230"/>
    <w:rsid w:val="0076462C"/>
    <w:rsid w:val="00764791"/>
    <w:rsid w:val="00770600"/>
    <w:rsid w:val="007712CE"/>
    <w:rsid w:val="00776709"/>
    <w:rsid w:val="00780B56"/>
    <w:rsid w:val="007810D7"/>
    <w:rsid w:val="0078276F"/>
    <w:rsid w:val="00787080"/>
    <w:rsid w:val="00792F42"/>
    <w:rsid w:val="00794553"/>
    <w:rsid w:val="00794A79"/>
    <w:rsid w:val="00795528"/>
    <w:rsid w:val="007A042A"/>
    <w:rsid w:val="007A531E"/>
    <w:rsid w:val="007B13A4"/>
    <w:rsid w:val="007B2760"/>
    <w:rsid w:val="007B3452"/>
    <w:rsid w:val="007B6A05"/>
    <w:rsid w:val="007B7A20"/>
    <w:rsid w:val="007C6038"/>
    <w:rsid w:val="007D4299"/>
    <w:rsid w:val="007D4B0F"/>
    <w:rsid w:val="007D5F8E"/>
    <w:rsid w:val="007E0F75"/>
    <w:rsid w:val="007E1B52"/>
    <w:rsid w:val="007E205D"/>
    <w:rsid w:val="007E2F56"/>
    <w:rsid w:val="007E5904"/>
    <w:rsid w:val="007F3073"/>
    <w:rsid w:val="007F4212"/>
    <w:rsid w:val="007F7BB0"/>
    <w:rsid w:val="007F7E50"/>
    <w:rsid w:val="0080404C"/>
    <w:rsid w:val="0080411C"/>
    <w:rsid w:val="00811352"/>
    <w:rsid w:val="00811560"/>
    <w:rsid w:val="008115A1"/>
    <w:rsid w:val="00814D42"/>
    <w:rsid w:val="0081516C"/>
    <w:rsid w:val="00815A88"/>
    <w:rsid w:val="00817406"/>
    <w:rsid w:val="00822BA1"/>
    <w:rsid w:val="00827281"/>
    <w:rsid w:val="00832822"/>
    <w:rsid w:val="0083372E"/>
    <w:rsid w:val="00837A11"/>
    <w:rsid w:val="00837DFA"/>
    <w:rsid w:val="00842C97"/>
    <w:rsid w:val="00844639"/>
    <w:rsid w:val="008464C4"/>
    <w:rsid w:val="00847612"/>
    <w:rsid w:val="008500EF"/>
    <w:rsid w:val="008504F1"/>
    <w:rsid w:val="00855014"/>
    <w:rsid w:val="00856929"/>
    <w:rsid w:val="00861F96"/>
    <w:rsid w:val="0086295C"/>
    <w:rsid w:val="008637E6"/>
    <w:rsid w:val="00864F46"/>
    <w:rsid w:val="008722FD"/>
    <w:rsid w:val="00881894"/>
    <w:rsid w:val="00881E76"/>
    <w:rsid w:val="00882CA2"/>
    <w:rsid w:val="008847EF"/>
    <w:rsid w:val="00885079"/>
    <w:rsid w:val="00885B63"/>
    <w:rsid w:val="00887F40"/>
    <w:rsid w:val="008A5A30"/>
    <w:rsid w:val="008A7B8E"/>
    <w:rsid w:val="008B2424"/>
    <w:rsid w:val="008B5371"/>
    <w:rsid w:val="008B565C"/>
    <w:rsid w:val="008B67D0"/>
    <w:rsid w:val="008B75D6"/>
    <w:rsid w:val="008C103B"/>
    <w:rsid w:val="008C153F"/>
    <w:rsid w:val="008C3F78"/>
    <w:rsid w:val="008C76AE"/>
    <w:rsid w:val="008D1628"/>
    <w:rsid w:val="008D1BFF"/>
    <w:rsid w:val="008D1C07"/>
    <w:rsid w:val="008D6426"/>
    <w:rsid w:val="008D7759"/>
    <w:rsid w:val="008D7AEB"/>
    <w:rsid w:val="008D7E96"/>
    <w:rsid w:val="008E07AD"/>
    <w:rsid w:val="008E1B17"/>
    <w:rsid w:val="008E6679"/>
    <w:rsid w:val="008F07DE"/>
    <w:rsid w:val="008F52AE"/>
    <w:rsid w:val="008F6DCF"/>
    <w:rsid w:val="00901013"/>
    <w:rsid w:val="00904342"/>
    <w:rsid w:val="009068DE"/>
    <w:rsid w:val="0091340B"/>
    <w:rsid w:val="00913C9E"/>
    <w:rsid w:val="00915504"/>
    <w:rsid w:val="009175D4"/>
    <w:rsid w:val="009209C4"/>
    <w:rsid w:val="009266CB"/>
    <w:rsid w:val="00927495"/>
    <w:rsid w:val="009276F2"/>
    <w:rsid w:val="00934D46"/>
    <w:rsid w:val="009372AD"/>
    <w:rsid w:val="00937522"/>
    <w:rsid w:val="0093782A"/>
    <w:rsid w:val="009400C7"/>
    <w:rsid w:val="0094355C"/>
    <w:rsid w:val="009503E7"/>
    <w:rsid w:val="00951F0E"/>
    <w:rsid w:val="00952FA3"/>
    <w:rsid w:val="0095341C"/>
    <w:rsid w:val="0095443A"/>
    <w:rsid w:val="009548D0"/>
    <w:rsid w:val="0095613D"/>
    <w:rsid w:val="009569CD"/>
    <w:rsid w:val="0097031D"/>
    <w:rsid w:val="00970AA5"/>
    <w:rsid w:val="00981EAC"/>
    <w:rsid w:val="00991569"/>
    <w:rsid w:val="00997AAC"/>
    <w:rsid w:val="009A143F"/>
    <w:rsid w:val="009A2764"/>
    <w:rsid w:val="009A37AF"/>
    <w:rsid w:val="009A42D3"/>
    <w:rsid w:val="009A4EE3"/>
    <w:rsid w:val="009B57C4"/>
    <w:rsid w:val="009C0CE4"/>
    <w:rsid w:val="009C3592"/>
    <w:rsid w:val="009C4854"/>
    <w:rsid w:val="009C4DD7"/>
    <w:rsid w:val="009C7ABC"/>
    <w:rsid w:val="009D2044"/>
    <w:rsid w:val="009D5330"/>
    <w:rsid w:val="009E0FE8"/>
    <w:rsid w:val="009E28D6"/>
    <w:rsid w:val="009F08A8"/>
    <w:rsid w:val="009F3C71"/>
    <w:rsid w:val="009F3DA0"/>
    <w:rsid w:val="009F4AF1"/>
    <w:rsid w:val="009F59A6"/>
    <w:rsid w:val="00A032F5"/>
    <w:rsid w:val="00A0475C"/>
    <w:rsid w:val="00A135D8"/>
    <w:rsid w:val="00A1487C"/>
    <w:rsid w:val="00A20CFC"/>
    <w:rsid w:val="00A21815"/>
    <w:rsid w:val="00A220BE"/>
    <w:rsid w:val="00A261F8"/>
    <w:rsid w:val="00A3149C"/>
    <w:rsid w:val="00A336A0"/>
    <w:rsid w:val="00A33B86"/>
    <w:rsid w:val="00A34131"/>
    <w:rsid w:val="00A40669"/>
    <w:rsid w:val="00A437CD"/>
    <w:rsid w:val="00A442D2"/>
    <w:rsid w:val="00A535E1"/>
    <w:rsid w:val="00A53F29"/>
    <w:rsid w:val="00A5408E"/>
    <w:rsid w:val="00A550C7"/>
    <w:rsid w:val="00A56295"/>
    <w:rsid w:val="00A57FA7"/>
    <w:rsid w:val="00A60BCD"/>
    <w:rsid w:val="00A64B5D"/>
    <w:rsid w:val="00A66469"/>
    <w:rsid w:val="00A6744B"/>
    <w:rsid w:val="00A70AC9"/>
    <w:rsid w:val="00A71BAC"/>
    <w:rsid w:val="00A728E8"/>
    <w:rsid w:val="00A74B76"/>
    <w:rsid w:val="00A75D78"/>
    <w:rsid w:val="00A77134"/>
    <w:rsid w:val="00A80862"/>
    <w:rsid w:val="00A82B3A"/>
    <w:rsid w:val="00A83423"/>
    <w:rsid w:val="00A8350B"/>
    <w:rsid w:val="00A8477A"/>
    <w:rsid w:val="00A85A22"/>
    <w:rsid w:val="00A85DCD"/>
    <w:rsid w:val="00A86E75"/>
    <w:rsid w:val="00A90A33"/>
    <w:rsid w:val="00A927BC"/>
    <w:rsid w:val="00A93DAC"/>
    <w:rsid w:val="00A945E6"/>
    <w:rsid w:val="00A95099"/>
    <w:rsid w:val="00A97B22"/>
    <w:rsid w:val="00AA00C5"/>
    <w:rsid w:val="00AA1843"/>
    <w:rsid w:val="00AA1E56"/>
    <w:rsid w:val="00AA4A87"/>
    <w:rsid w:val="00AA600E"/>
    <w:rsid w:val="00AB0176"/>
    <w:rsid w:val="00AB37E2"/>
    <w:rsid w:val="00AB3CA1"/>
    <w:rsid w:val="00AB50F3"/>
    <w:rsid w:val="00AB551D"/>
    <w:rsid w:val="00AB5A34"/>
    <w:rsid w:val="00AB7119"/>
    <w:rsid w:val="00AB791A"/>
    <w:rsid w:val="00AC006F"/>
    <w:rsid w:val="00AC2802"/>
    <w:rsid w:val="00AC68D6"/>
    <w:rsid w:val="00AC6AFA"/>
    <w:rsid w:val="00AC7D5F"/>
    <w:rsid w:val="00AD036B"/>
    <w:rsid w:val="00AD21B0"/>
    <w:rsid w:val="00AE33E3"/>
    <w:rsid w:val="00AE4660"/>
    <w:rsid w:val="00AE4EF5"/>
    <w:rsid w:val="00AE647B"/>
    <w:rsid w:val="00AF28C5"/>
    <w:rsid w:val="00AF69FA"/>
    <w:rsid w:val="00B02CDC"/>
    <w:rsid w:val="00B06BB0"/>
    <w:rsid w:val="00B07101"/>
    <w:rsid w:val="00B164C8"/>
    <w:rsid w:val="00B17253"/>
    <w:rsid w:val="00B2717F"/>
    <w:rsid w:val="00B27409"/>
    <w:rsid w:val="00B41ADE"/>
    <w:rsid w:val="00B43D8F"/>
    <w:rsid w:val="00B4783A"/>
    <w:rsid w:val="00B5037D"/>
    <w:rsid w:val="00B50DAD"/>
    <w:rsid w:val="00B526C9"/>
    <w:rsid w:val="00B57A34"/>
    <w:rsid w:val="00B66061"/>
    <w:rsid w:val="00B71DA7"/>
    <w:rsid w:val="00B721C4"/>
    <w:rsid w:val="00B72332"/>
    <w:rsid w:val="00B723E1"/>
    <w:rsid w:val="00B7367F"/>
    <w:rsid w:val="00B73785"/>
    <w:rsid w:val="00B76532"/>
    <w:rsid w:val="00B81778"/>
    <w:rsid w:val="00B8200D"/>
    <w:rsid w:val="00B836E2"/>
    <w:rsid w:val="00B84E4A"/>
    <w:rsid w:val="00B949E9"/>
    <w:rsid w:val="00B97D0A"/>
    <w:rsid w:val="00B97DC1"/>
    <w:rsid w:val="00BA3ECB"/>
    <w:rsid w:val="00BA6397"/>
    <w:rsid w:val="00BB01C0"/>
    <w:rsid w:val="00BB2074"/>
    <w:rsid w:val="00BB7DFF"/>
    <w:rsid w:val="00BC020E"/>
    <w:rsid w:val="00BC635E"/>
    <w:rsid w:val="00BC66C7"/>
    <w:rsid w:val="00BC696E"/>
    <w:rsid w:val="00BC787C"/>
    <w:rsid w:val="00BD1257"/>
    <w:rsid w:val="00BD2C2E"/>
    <w:rsid w:val="00BD56D6"/>
    <w:rsid w:val="00BD6A13"/>
    <w:rsid w:val="00BD6B6A"/>
    <w:rsid w:val="00BD75FD"/>
    <w:rsid w:val="00BE0549"/>
    <w:rsid w:val="00BE305F"/>
    <w:rsid w:val="00BE57DA"/>
    <w:rsid w:val="00BE7929"/>
    <w:rsid w:val="00BF01C4"/>
    <w:rsid w:val="00BF1A87"/>
    <w:rsid w:val="00BF2C76"/>
    <w:rsid w:val="00BF6E91"/>
    <w:rsid w:val="00BF7655"/>
    <w:rsid w:val="00C0022B"/>
    <w:rsid w:val="00C03E22"/>
    <w:rsid w:val="00C05584"/>
    <w:rsid w:val="00C12B45"/>
    <w:rsid w:val="00C15EFC"/>
    <w:rsid w:val="00C208B0"/>
    <w:rsid w:val="00C2157D"/>
    <w:rsid w:val="00C22E6D"/>
    <w:rsid w:val="00C22FE5"/>
    <w:rsid w:val="00C23677"/>
    <w:rsid w:val="00C26731"/>
    <w:rsid w:val="00C2787F"/>
    <w:rsid w:val="00C27ACC"/>
    <w:rsid w:val="00C32FA4"/>
    <w:rsid w:val="00C35544"/>
    <w:rsid w:val="00C375C0"/>
    <w:rsid w:val="00C423CC"/>
    <w:rsid w:val="00C431C2"/>
    <w:rsid w:val="00C449EB"/>
    <w:rsid w:val="00C50B8B"/>
    <w:rsid w:val="00C53CE0"/>
    <w:rsid w:val="00C54C64"/>
    <w:rsid w:val="00C54FBF"/>
    <w:rsid w:val="00C551A6"/>
    <w:rsid w:val="00C55CA9"/>
    <w:rsid w:val="00C56622"/>
    <w:rsid w:val="00C6279F"/>
    <w:rsid w:val="00C62A88"/>
    <w:rsid w:val="00C63B59"/>
    <w:rsid w:val="00C63C39"/>
    <w:rsid w:val="00C66474"/>
    <w:rsid w:val="00C675A2"/>
    <w:rsid w:val="00C701F2"/>
    <w:rsid w:val="00C70CB7"/>
    <w:rsid w:val="00C72C5C"/>
    <w:rsid w:val="00C74841"/>
    <w:rsid w:val="00C755FB"/>
    <w:rsid w:val="00C77932"/>
    <w:rsid w:val="00C80DDD"/>
    <w:rsid w:val="00C83DB9"/>
    <w:rsid w:val="00C870D8"/>
    <w:rsid w:val="00C87BBE"/>
    <w:rsid w:val="00C97183"/>
    <w:rsid w:val="00CA1018"/>
    <w:rsid w:val="00CA1DF0"/>
    <w:rsid w:val="00CA33E5"/>
    <w:rsid w:val="00CA3557"/>
    <w:rsid w:val="00CB2208"/>
    <w:rsid w:val="00CB2BC4"/>
    <w:rsid w:val="00CB529D"/>
    <w:rsid w:val="00CC0132"/>
    <w:rsid w:val="00CC0177"/>
    <w:rsid w:val="00CC07E3"/>
    <w:rsid w:val="00CC46F0"/>
    <w:rsid w:val="00CD00B7"/>
    <w:rsid w:val="00CD1F1E"/>
    <w:rsid w:val="00CD2F6B"/>
    <w:rsid w:val="00CD4C33"/>
    <w:rsid w:val="00CD554A"/>
    <w:rsid w:val="00CD5873"/>
    <w:rsid w:val="00CD651D"/>
    <w:rsid w:val="00CD7C36"/>
    <w:rsid w:val="00CE1D6F"/>
    <w:rsid w:val="00CE62F7"/>
    <w:rsid w:val="00CF071B"/>
    <w:rsid w:val="00CF1045"/>
    <w:rsid w:val="00CF63D6"/>
    <w:rsid w:val="00D00B61"/>
    <w:rsid w:val="00D021BE"/>
    <w:rsid w:val="00D100D2"/>
    <w:rsid w:val="00D10A60"/>
    <w:rsid w:val="00D10ED3"/>
    <w:rsid w:val="00D11637"/>
    <w:rsid w:val="00D13910"/>
    <w:rsid w:val="00D13DDA"/>
    <w:rsid w:val="00D1526D"/>
    <w:rsid w:val="00D21421"/>
    <w:rsid w:val="00D22A62"/>
    <w:rsid w:val="00D24448"/>
    <w:rsid w:val="00D26086"/>
    <w:rsid w:val="00D26A5D"/>
    <w:rsid w:val="00D30615"/>
    <w:rsid w:val="00D310C5"/>
    <w:rsid w:val="00D317C8"/>
    <w:rsid w:val="00D32B5F"/>
    <w:rsid w:val="00D354CF"/>
    <w:rsid w:val="00D36041"/>
    <w:rsid w:val="00D36510"/>
    <w:rsid w:val="00D410C9"/>
    <w:rsid w:val="00D45216"/>
    <w:rsid w:val="00D458AA"/>
    <w:rsid w:val="00D45938"/>
    <w:rsid w:val="00D47623"/>
    <w:rsid w:val="00D477CD"/>
    <w:rsid w:val="00D51EFC"/>
    <w:rsid w:val="00D5681E"/>
    <w:rsid w:val="00D56FE4"/>
    <w:rsid w:val="00D63B3D"/>
    <w:rsid w:val="00D64408"/>
    <w:rsid w:val="00D65B9D"/>
    <w:rsid w:val="00D66154"/>
    <w:rsid w:val="00D67B0A"/>
    <w:rsid w:val="00D710D7"/>
    <w:rsid w:val="00D714A6"/>
    <w:rsid w:val="00D72D49"/>
    <w:rsid w:val="00D81F5C"/>
    <w:rsid w:val="00D844EB"/>
    <w:rsid w:val="00D857C5"/>
    <w:rsid w:val="00D8669E"/>
    <w:rsid w:val="00D90188"/>
    <w:rsid w:val="00D90296"/>
    <w:rsid w:val="00D905C1"/>
    <w:rsid w:val="00D9060C"/>
    <w:rsid w:val="00D906DA"/>
    <w:rsid w:val="00D90708"/>
    <w:rsid w:val="00D90C80"/>
    <w:rsid w:val="00DA1578"/>
    <w:rsid w:val="00DA1ABF"/>
    <w:rsid w:val="00DA6086"/>
    <w:rsid w:val="00DB1A95"/>
    <w:rsid w:val="00DB2FCF"/>
    <w:rsid w:val="00DB3397"/>
    <w:rsid w:val="00DB4314"/>
    <w:rsid w:val="00DC006D"/>
    <w:rsid w:val="00DC28B3"/>
    <w:rsid w:val="00DC32DD"/>
    <w:rsid w:val="00DC53B7"/>
    <w:rsid w:val="00DD3334"/>
    <w:rsid w:val="00DD7FA8"/>
    <w:rsid w:val="00DE0879"/>
    <w:rsid w:val="00DE4EC4"/>
    <w:rsid w:val="00DF1302"/>
    <w:rsid w:val="00DF1CF9"/>
    <w:rsid w:val="00DF43FB"/>
    <w:rsid w:val="00E0379B"/>
    <w:rsid w:val="00E044D1"/>
    <w:rsid w:val="00E118CA"/>
    <w:rsid w:val="00E12A00"/>
    <w:rsid w:val="00E12D20"/>
    <w:rsid w:val="00E12E62"/>
    <w:rsid w:val="00E13307"/>
    <w:rsid w:val="00E1556B"/>
    <w:rsid w:val="00E167F6"/>
    <w:rsid w:val="00E16825"/>
    <w:rsid w:val="00E2428F"/>
    <w:rsid w:val="00E24AF4"/>
    <w:rsid w:val="00E25299"/>
    <w:rsid w:val="00E25A07"/>
    <w:rsid w:val="00E26B70"/>
    <w:rsid w:val="00E33358"/>
    <w:rsid w:val="00E33EFD"/>
    <w:rsid w:val="00E37B4C"/>
    <w:rsid w:val="00E40B8B"/>
    <w:rsid w:val="00E40F8E"/>
    <w:rsid w:val="00E41B70"/>
    <w:rsid w:val="00E43D93"/>
    <w:rsid w:val="00E45C1F"/>
    <w:rsid w:val="00E46C82"/>
    <w:rsid w:val="00E473B4"/>
    <w:rsid w:val="00E54EE7"/>
    <w:rsid w:val="00E5709A"/>
    <w:rsid w:val="00E62BDA"/>
    <w:rsid w:val="00E644BF"/>
    <w:rsid w:val="00E71061"/>
    <w:rsid w:val="00E719F9"/>
    <w:rsid w:val="00E76AAD"/>
    <w:rsid w:val="00E76E1F"/>
    <w:rsid w:val="00E86BD0"/>
    <w:rsid w:val="00E942B7"/>
    <w:rsid w:val="00E94BCC"/>
    <w:rsid w:val="00E95E08"/>
    <w:rsid w:val="00E978CF"/>
    <w:rsid w:val="00EA4B83"/>
    <w:rsid w:val="00EA4C6A"/>
    <w:rsid w:val="00EA6A81"/>
    <w:rsid w:val="00EA7998"/>
    <w:rsid w:val="00EB2466"/>
    <w:rsid w:val="00EB4680"/>
    <w:rsid w:val="00ED64C5"/>
    <w:rsid w:val="00EE042F"/>
    <w:rsid w:val="00EE0D3D"/>
    <w:rsid w:val="00EE100F"/>
    <w:rsid w:val="00EE2A1A"/>
    <w:rsid w:val="00EE59C4"/>
    <w:rsid w:val="00EF31A8"/>
    <w:rsid w:val="00EF3334"/>
    <w:rsid w:val="00EF4D18"/>
    <w:rsid w:val="00EF6632"/>
    <w:rsid w:val="00EF724E"/>
    <w:rsid w:val="00EF75E0"/>
    <w:rsid w:val="00F01464"/>
    <w:rsid w:val="00F0156C"/>
    <w:rsid w:val="00F0797D"/>
    <w:rsid w:val="00F07F28"/>
    <w:rsid w:val="00F1279F"/>
    <w:rsid w:val="00F12D4E"/>
    <w:rsid w:val="00F1468E"/>
    <w:rsid w:val="00F14D0A"/>
    <w:rsid w:val="00F1531A"/>
    <w:rsid w:val="00F179BA"/>
    <w:rsid w:val="00F179D5"/>
    <w:rsid w:val="00F21BC9"/>
    <w:rsid w:val="00F22B1F"/>
    <w:rsid w:val="00F313F9"/>
    <w:rsid w:val="00F31D37"/>
    <w:rsid w:val="00F33CBE"/>
    <w:rsid w:val="00F375C8"/>
    <w:rsid w:val="00F46AC4"/>
    <w:rsid w:val="00F51049"/>
    <w:rsid w:val="00F52AC3"/>
    <w:rsid w:val="00F52B2B"/>
    <w:rsid w:val="00F52F4C"/>
    <w:rsid w:val="00F53052"/>
    <w:rsid w:val="00F53E25"/>
    <w:rsid w:val="00F56103"/>
    <w:rsid w:val="00F57C92"/>
    <w:rsid w:val="00F619AD"/>
    <w:rsid w:val="00F6305A"/>
    <w:rsid w:val="00F63703"/>
    <w:rsid w:val="00F71F1A"/>
    <w:rsid w:val="00F72001"/>
    <w:rsid w:val="00F73047"/>
    <w:rsid w:val="00F75300"/>
    <w:rsid w:val="00F75634"/>
    <w:rsid w:val="00F757DF"/>
    <w:rsid w:val="00F75FA6"/>
    <w:rsid w:val="00F76F64"/>
    <w:rsid w:val="00F77A4C"/>
    <w:rsid w:val="00F84B99"/>
    <w:rsid w:val="00F85F4B"/>
    <w:rsid w:val="00F87BC9"/>
    <w:rsid w:val="00F90830"/>
    <w:rsid w:val="00F95ADE"/>
    <w:rsid w:val="00F95B85"/>
    <w:rsid w:val="00FA1BC6"/>
    <w:rsid w:val="00FA1C8A"/>
    <w:rsid w:val="00FA1D2B"/>
    <w:rsid w:val="00FA26C5"/>
    <w:rsid w:val="00FA2FB4"/>
    <w:rsid w:val="00FA3AC1"/>
    <w:rsid w:val="00FA3ECC"/>
    <w:rsid w:val="00FA7B70"/>
    <w:rsid w:val="00FB10CB"/>
    <w:rsid w:val="00FB2F9C"/>
    <w:rsid w:val="00FB5545"/>
    <w:rsid w:val="00FC05EF"/>
    <w:rsid w:val="00FC48C6"/>
    <w:rsid w:val="00FC4D89"/>
    <w:rsid w:val="00FC6019"/>
    <w:rsid w:val="00FC681D"/>
    <w:rsid w:val="00FC6A4F"/>
    <w:rsid w:val="00FC777F"/>
    <w:rsid w:val="00FD0A98"/>
    <w:rsid w:val="00FD59E3"/>
    <w:rsid w:val="00FE12E0"/>
    <w:rsid w:val="00FE169F"/>
    <w:rsid w:val="00FE1762"/>
    <w:rsid w:val="00FE2DCE"/>
    <w:rsid w:val="00FE3481"/>
    <w:rsid w:val="00FE4383"/>
    <w:rsid w:val="00FE5696"/>
    <w:rsid w:val="00FE7B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D7"/>
  </w:style>
  <w:style w:type="paragraph" w:styleId="Heading2">
    <w:name w:val="heading 2"/>
    <w:basedOn w:val="Normal"/>
    <w:next w:val="Normal"/>
    <w:link w:val="Heading2Char"/>
    <w:uiPriority w:val="9"/>
    <w:unhideWhenUsed/>
    <w:qFormat/>
    <w:rsid w:val="00AB3CA1"/>
    <w:pPr>
      <w:keepNext/>
      <w:keepLines/>
      <w:spacing w:before="200" w:after="0"/>
      <w:outlineLvl w:val="1"/>
    </w:pPr>
    <w:rPr>
      <w:rFonts w:ascii="Verdana" w:eastAsia="Times New Roman" w:hAnsi="Verdana"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B3A"/>
    <w:rPr>
      <w:rFonts w:ascii="Tahoma" w:hAnsi="Tahoma" w:cs="Tahoma"/>
      <w:sz w:val="16"/>
      <w:szCs w:val="16"/>
    </w:rPr>
  </w:style>
  <w:style w:type="paragraph" w:styleId="ListParagraph">
    <w:name w:val="List Paragraph"/>
    <w:basedOn w:val="Normal"/>
    <w:uiPriority w:val="34"/>
    <w:qFormat/>
    <w:rsid w:val="00901013"/>
    <w:pPr>
      <w:ind w:left="720"/>
      <w:contextualSpacing/>
    </w:pPr>
  </w:style>
  <w:style w:type="paragraph" w:styleId="FootnoteText">
    <w:name w:val="footnote text"/>
    <w:basedOn w:val="Normal"/>
    <w:link w:val="FootnoteTextChar"/>
    <w:uiPriority w:val="99"/>
    <w:unhideWhenUsed/>
    <w:rsid w:val="000B3CEC"/>
    <w:pPr>
      <w:spacing w:after="0" w:line="240" w:lineRule="auto"/>
    </w:pPr>
    <w:rPr>
      <w:sz w:val="20"/>
      <w:szCs w:val="20"/>
    </w:rPr>
  </w:style>
  <w:style w:type="character" w:customStyle="1" w:styleId="FootnoteTextChar">
    <w:name w:val="Footnote Text Char"/>
    <w:basedOn w:val="DefaultParagraphFont"/>
    <w:link w:val="FootnoteText"/>
    <w:uiPriority w:val="99"/>
    <w:rsid w:val="000B3CEC"/>
    <w:rPr>
      <w:sz w:val="20"/>
      <w:szCs w:val="20"/>
    </w:rPr>
  </w:style>
  <w:style w:type="character" w:styleId="FootnoteReference">
    <w:name w:val="footnote reference"/>
    <w:basedOn w:val="DefaultParagraphFont"/>
    <w:uiPriority w:val="99"/>
    <w:semiHidden/>
    <w:unhideWhenUsed/>
    <w:rsid w:val="000B3CEC"/>
    <w:rPr>
      <w:vertAlign w:val="superscript"/>
    </w:rPr>
  </w:style>
  <w:style w:type="character" w:styleId="Hyperlink">
    <w:name w:val="Hyperlink"/>
    <w:basedOn w:val="DefaultParagraphFont"/>
    <w:uiPriority w:val="99"/>
    <w:unhideWhenUsed/>
    <w:rsid w:val="000B3CEC"/>
    <w:rPr>
      <w:color w:val="0000FF" w:themeColor="hyperlink"/>
      <w:u w:val="single"/>
    </w:rPr>
  </w:style>
  <w:style w:type="paragraph" w:styleId="Header">
    <w:name w:val="header"/>
    <w:basedOn w:val="Normal"/>
    <w:link w:val="HeaderChar"/>
    <w:uiPriority w:val="99"/>
    <w:semiHidden/>
    <w:unhideWhenUsed/>
    <w:rsid w:val="004512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12AC"/>
  </w:style>
  <w:style w:type="paragraph" w:styleId="Footer">
    <w:name w:val="footer"/>
    <w:basedOn w:val="Normal"/>
    <w:link w:val="FooterChar"/>
    <w:uiPriority w:val="99"/>
    <w:unhideWhenUsed/>
    <w:rsid w:val="00451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2AC"/>
  </w:style>
  <w:style w:type="character" w:styleId="CommentReference">
    <w:name w:val="annotation reference"/>
    <w:basedOn w:val="DefaultParagraphFont"/>
    <w:uiPriority w:val="99"/>
    <w:semiHidden/>
    <w:unhideWhenUsed/>
    <w:rsid w:val="000D1D8D"/>
    <w:rPr>
      <w:sz w:val="16"/>
      <w:szCs w:val="16"/>
    </w:rPr>
  </w:style>
  <w:style w:type="paragraph" w:styleId="CommentText">
    <w:name w:val="annotation text"/>
    <w:basedOn w:val="Normal"/>
    <w:link w:val="CommentTextChar"/>
    <w:uiPriority w:val="99"/>
    <w:semiHidden/>
    <w:unhideWhenUsed/>
    <w:rsid w:val="000D1D8D"/>
    <w:pPr>
      <w:spacing w:line="240" w:lineRule="auto"/>
    </w:pPr>
    <w:rPr>
      <w:sz w:val="20"/>
      <w:szCs w:val="20"/>
    </w:rPr>
  </w:style>
  <w:style w:type="character" w:customStyle="1" w:styleId="CommentTextChar">
    <w:name w:val="Comment Text Char"/>
    <w:basedOn w:val="DefaultParagraphFont"/>
    <w:link w:val="CommentText"/>
    <w:uiPriority w:val="99"/>
    <w:semiHidden/>
    <w:rsid w:val="000D1D8D"/>
    <w:rPr>
      <w:sz w:val="20"/>
      <w:szCs w:val="20"/>
    </w:rPr>
  </w:style>
  <w:style w:type="paragraph" w:styleId="CommentSubject">
    <w:name w:val="annotation subject"/>
    <w:basedOn w:val="CommentText"/>
    <w:next w:val="CommentText"/>
    <w:link w:val="CommentSubjectChar"/>
    <w:uiPriority w:val="99"/>
    <w:semiHidden/>
    <w:unhideWhenUsed/>
    <w:rsid w:val="000D1D8D"/>
    <w:rPr>
      <w:b/>
      <w:bCs/>
    </w:rPr>
  </w:style>
  <w:style w:type="character" w:customStyle="1" w:styleId="CommentSubjectChar">
    <w:name w:val="Comment Subject Char"/>
    <w:basedOn w:val="CommentTextChar"/>
    <w:link w:val="CommentSubject"/>
    <w:uiPriority w:val="99"/>
    <w:semiHidden/>
    <w:rsid w:val="000D1D8D"/>
    <w:rPr>
      <w:b/>
      <w:bCs/>
    </w:rPr>
  </w:style>
  <w:style w:type="table" w:styleId="TableGrid">
    <w:name w:val="Table Grid"/>
    <w:basedOn w:val="TableNormal"/>
    <w:uiPriority w:val="59"/>
    <w:rsid w:val="00AB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B3CA1"/>
    <w:rPr>
      <w:rFonts w:ascii="Verdana" w:eastAsia="Times New Roman" w:hAnsi="Verdana" w:cs="Times New Roman"/>
      <w:b/>
      <w:bCs/>
      <w:color w:val="000000"/>
      <w:sz w:val="26"/>
      <w:szCs w:val="26"/>
    </w:rPr>
  </w:style>
  <w:style w:type="character" w:customStyle="1" w:styleId="apple-converted-space">
    <w:name w:val="apple-converted-space"/>
    <w:basedOn w:val="DefaultParagraphFont"/>
    <w:rsid w:val="00D13DDA"/>
  </w:style>
  <w:style w:type="paragraph" w:styleId="NormalWeb">
    <w:name w:val="Normal (Web)"/>
    <w:basedOn w:val="Normal"/>
    <w:uiPriority w:val="99"/>
    <w:semiHidden/>
    <w:unhideWhenUsed/>
    <w:rsid w:val="00D13DD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7799223">
      <w:bodyDiv w:val="1"/>
      <w:marLeft w:val="0"/>
      <w:marRight w:val="0"/>
      <w:marTop w:val="0"/>
      <w:marBottom w:val="0"/>
      <w:divBdr>
        <w:top w:val="none" w:sz="0" w:space="0" w:color="auto"/>
        <w:left w:val="none" w:sz="0" w:space="0" w:color="auto"/>
        <w:bottom w:val="none" w:sz="0" w:space="0" w:color="auto"/>
        <w:right w:val="none" w:sz="0" w:space="0" w:color="auto"/>
      </w:divBdr>
    </w:div>
    <w:div w:id="202509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Financial_services" TargetMode="External"/><Relationship Id="rId2" Type="http://schemas.openxmlformats.org/officeDocument/2006/relationships/hyperlink" Target="https://www.accenture.com/t20160218T103231__w__/us-en/_acnmedia/PDF-5/Accenture-Banking-Lloyds-Bank-UK-Consumer-Digital-Index-2016.pdf" TargetMode="External"/><Relationship Id="rId1" Type="http://schemas.openxmlformats.org/officeDocument/2006/relationships/hyperlink" Target="https://complyadvant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2177A-72F0-4880-B9E2-24E53935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Shada Nasrullah</dc:creator>
  <cp:lastModifiedBy>Simone Freire</cp:lastModifiedBy>
  <cp:revision>4</cp:revision>
  <cp:lastPrinted>2016-07-11T07:29:00Z</cp:lastPrinted>
  <dcterms:created xsi:type="dcterms:W3CDTF">2016-07-11T09:47:00Z</dcterms:created>
  <dcterms:modified xsi:type="dcterms:W3CDTF">2016-07-13T12:18:00Z</dcterms:modified>
</cp:coreProperties>
</file>